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F96A72" w14:textId="4CEB0EEB" w:rsidR="00A50A8B" w:rsidRDefault="004F6C39" w:rsidP="00A50A8B">
      <w:pPr>
        <w:pStyle w:val="OMBInfo"/>
      </w:pPr>
      <w:r w:rsidRPr="004F6C39">
        <w:t>OMB No. 0925-0001 and 0925-0002 (Rev. 10/2021 Approved Through 01/31/2026)</w:t>
      </w:r>
    </w:p>
    <w:p w14:paraId="48D07FF5" w14:textId="77777777" w:rsidR="002B7443" w:rsidRPr="006E6FB5" w:rsidRDefault="002B7443" w:rsidP="006E6FB5">
      <w:pPr>
        <w:pStyle w:val="Title"/>
      </w:pPr>
      <w:r w:rsidRPr="006E6FB5">
        <w:t>BIOGRAPHICAL SKETCH</w:t>
      </w:r>
    </w:p>
    <w:p w14:paraId="01C9B6C5" w14:textId="7EDF005C" w:rsidR="002B7443" w:rsidRPr="00F7284D" w:rsidRDefault="002B7443" w:rsidP="00F7284D">
      <w:pPr>
        <w:pStyle w:val="HeadingNote"/>
      </w:pPr>
      <w:r w:rsidRPr="00F7284D">
        <w:t>Provide the following information for the Senior/key personnel and other significant contributors.</w:t>
      </w:r>
      <w:r w:rsidRPr="00F7284D">
        <w:br w:type="textWrapping" w:clear="all"/>
        <w:t xml:space="preserve">Follow this format for each person.  </w:t>
      </w:r>
      <w:r w:rsidRPr="00656AB8">
        <w:rPr>
          <w:b/>
        </w:rPr>
        <w:t xml:space="preserve">DO NOT EXCEED </w:t>
      </w:r>
      <w:r>
        <w:rPr>
          <w:b/>
        </w:rPr>
        <w:t>FIVE</w:t>
      </w:r>
      <w:r w:rsidRPr="00656AB8">
        <w:rPr>
          <w:b/>
        </w:rPr>
        <w:t xml:space="preserve"> PAGES.</w:t>
      </w:r>
    </w:p>
    <w:p w14:paraId="4F46CDBB" w14:textId="27E50ADF" w:rsidR="002B7443" w:rsidRPr="00D3779E" w:rsidRDefault="002B7443" w:rsidP="002B7443">
      <w:pPr>
        <w:pStyle w:val="FormFieldCaption1"/>
        <w:pBdr>
          <w:between w:val="single" w:sz="4" w:space="1" w:color="auto"/>
        </w:pBdr>
        <w:rPr>
          <w:sz w:val="32"/>
        </w:rPr>
      </w:pPr>
      <w:r w:rsidRPr="00D3779E">
        <w:rPr>
          <w:sz w:val="22"/>
        </w:rPr>
        <w:t>NAME:</w:t>
      </w:r>
      <w:r w:rsidR="00E03323">
        <w:rPr>
          <w:sz w:val="22"/>
        </w:rPr>
        <w:t xml:space="preserve"> </w:t>
      </w:r>
      <w:r w:rsidR="00A1476C">
        <w:rPr>
          <w:sz w:val="22"/>
        </w:rPr>
        <w:t>Vivek, Sithara</w:t>
      </w:r>
    </w:p>
    <w:p w14:paraId="7FFF41C1" w14:textId="4E9C61D7" w:rsidR="002B7443" w:rsidRPr="00D3779E" w:rsidRDefault="00E047AD" w:rsidP="002B7443">
      <w:pPr>
        <w:pStyle w:val="FormFieldCaption1"/>
        <w:pBdr>
          <w:between w:val="single" w:sz="4" w:space="1" w:color="auto"/>
        </w:pBdr>
        <w:rPr>
          <w:sz w:val="32"/>
        </w:rPr>
      </w:pPr>
      <w:proofErr w:type="spellStart"/>
      <w:proofErr w:type="gramStart"/>
      <w:r w:rsidRPr="00D3779E">
        <w:rPr>
          <w:sz w:val="22"/>
        </w:rPr>
        <w:t>eRA</w:t>
      </w:r>
      <w:proofErr w:type="spellEnd"/>
      <w:proofErr w:type="gramEnd"/>
      <w:r w:rsidRPr="00D3779E">
        <w:rPr>
          <w:sz w:val="22"/>
        </w:rPr>
        <w:t xml:space="preserve"> COMMONS USER NAME (credential, e.g., agency login)</w:t>
      </w:r>
      <w:r w:rsidR="002B7443" w:rsidRPr="00D3779E">
        <w:rPr>
          <w:sz w:val="22"/>
        </w:rPr>
        <w:t>:</w:t>
      </w:r>
      <w:r w:rsidR="00E03323">
        <w:rPr>
          <w:sz w:val="22"/>
        </w:rPr>
        <w:t xml:space="preserve"> </w:t>
      </w:r>
      <w:r w:rsidR="00A1476C">
        <w:rPr>
          <w:sz w:val="22"/>
        </w:rPr>
        <w:t>S.VIVEK</w:t>
      </w:r>
    </w:p>
    <w:p w14:paraId="74873D9A" w14:textId="730420D4" w:rsidR="002B7443" w:rsidRPr="00D3779E" w:rsidRDefault="00E047AD" w:rsidP="002B7443">
      <w:pPr>
        <w:pStyle w:val="FormFieldCaption1"/>
        <w:pBdr>
          <w:between w:val="single" w:sz="4" w:space="1" w:color="auto"/>
        </w:pBdr>
        <w:rPr>
          <w:sz w:val="32"/>
        </w:rPr>
      </w:pPr>
      <w:r w:rsidRPr="00D3779E">
        <w:rPr>
          <w:sz w:val="22"/>
        </w:rPr>
        <w:t>POSITION TITLE</w:t>
      </w:r>
      <w:r w:rsidR="002B7443" w:rsidRPr="00D3779E">
        <w:rPr>
          <w:sz w:val="22"/>
        </w:rPr>
        <w:t>:</w:t>
      </w:r>
      <w:r w:rsidR="008F64AC">
        <w:rPr>
          <w:sz w:val="22"/>
        </w:rPr>
        <w:t xml:space="preserve"> </w:t>
      </w:r>
      <w:r w:rsidR="004625A1">
        <w:rPr>
          <w:sz w:val="22"/>
        </w:rPr>
        <w:t xml:space="preserve">Assistant Professor in </w:t>
      </w:r>
      <w:r w:rsidR="00965128">
        <w:rPr>
          <w:sz w:val="22"/>
        </w:rPr>
        <w:t xml:space="preserve">the </w:t>
      </w:r>
      <w:r w:rsidR="004625A1">
        <w:rPr>
          <w:sz w:val="22"/>
        </w:rPr>
        <w:t>Department of Laboratory Medicine &amp; Pathology</w:t>
      </w:r>
    </w:p>
    <w:p w14:paraId="035344DF" w14:textId="571DC801" w:rsidR="002B7443" w:rsidRPr="00D3779E" w:rsidRDefault="002B7443" w:rsidP="002B7443">
      <w:pPr>
        <w:pStyle w:val="FormFieldCaption1"/>
        <w:pBdr>
          <w:between w:val="single" w:sz="4" w:space="1" w:color="auto"/>
        </w:pBdr>
        <w:rPr>
          <w:sz w:val="22"/>
        </w:rPr>
      </w:pPr>
      <w:r w:rsidRPr="00D3779E">
        <w:rPr>
          <w:sz w:val="22"/>
        </w:rPr>
        <w:t xml:space="preserve">EDUCATION/TRAINING </w:t>
      </w:r>
      <w:r w:rsidRPr="00D3779E">
        <w:rPr>
          <w:rStyle w:val="Emphasis"/>
          <w:sz w:val="22"/>
        </w:rPr>
        <w:t>(Begin with baccalaureate or other initial professional education, such as nursing, include postdoctoral training and residency training if applicable.</w:t>
      </w:r>
      <w:r w:rsidR="00C1247F" w:rsidRPr="00D3779E">
        <w:rPr>
          <w:rStyle w:val="Emphasis"/>
          <w:sz w:val="22"/>
        </w:rPr>
        <w:t xml:space="preserve"> Add/delete rows as necessary.</w:t>
      </w:r>
      <w:r w:rsidRPr="00D3779E">
        <w:rPr>
          <w:rStyle w:val="Emphasis"/>
          <w:sz w:val="22"/>
        </w:rPr>
        <w:t>)</w:t>
      </w:r>
    </w:p>
    <w:tbl>
      <w:tblPr>
        <w:tblStyle w:val="TableGrid"/>
        <w:tblW w:w="10699"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400"/>
        <w:gridCol w:w="1350"/>
        <w:gridCol w:w="1390"/>
        <w:gridCol w:w="2559"/>
      </w:tblGrid>
      <w:tr w:rsidR="00933173" w:rsidRPr="00D3779E" w14:paraId="21BBC1F3" w14:textId="77777777" w:rsidTr="000B2D78">
        <w:trPr>
          <w:cantSplit/>
          <w:trHeight w:val="827"/>
          <w:tblHeader/>
        </w:trPr>
        <w:tc>
          <w:tcPr>
            <w:tcW w:w="5400" w:type="dxa"/>
            <w:tcBorders>
              <w:top w:val="single" w:sz="4" w:space="0" w:color="auto"/>
              <w:bottom w:val="single" w:sz="4" w:space="0" w:color="auto"/>
            </w:tcBorders>
            <w:vAlign w:val="center"/>
          </w:tcPr>
          <w:p w14:paraId="5DCFDE41" w14:textId="77777777" w:rsidR="00933173" w:rsidRPr="00D3779E" w:rsidRDefault="00933173" w:rsidP="000B5732">
            <w:pPr>
              <w:pStyle w:val="FormFieldCaption"/>
              <w:jc w:val="center"/>
              <w:rPr>
                <w:sz w:val="22"/>
              </w:rPr>
            </w:pPr>
            <w:r w:rsidRPr="00D3779E">
              <w:rPr>
                <w:sz w:val="22"/>
              </w:rPr>
              <w:t>INSTITUTION AND LOCATION</w:t>
            </w:r>
          </w:p>
        </w:tc>
        <w:tc>
          <w:tcPr>
            <w:tcW w:w="1350" w:type="dxa"/>
            <w:tcBorders>
              <w:top w:val="single" w:sz="4" w:space="0" w:color="auto"/>
              <w:bottom w:val="single" w:sz="4" w:space="0" w:color="auto"/>
            </w:tcBorders>
            <w:vAlign w:val="center"/>
          </w:tcPr>
          <w:p w14:paraId="0A8E3E0E" w14:textId="77777777" w:rsidR="00933173" w:rsidRPr="00D3779E" w:rsidRDefault="00933173" w:rsidP="000B5732">
            <w:pPr>
              <w:pStyle w:val="FormFieldCaption"/>
              <w:jc w:val="center"/>
              <w:rPr>
                <w:sz w:val="22"/>
              </w:rPr>
            </w:pPr>
            <w:r w:rsidRPr="00D3779E">
              <w:rPr>
                <w:sz w:val="22"/>
              </w:rPr>
              <w:t>DEGREE</w:t>
            </w:r>
          </w:p>
          <w:p w14:paraId="0DEF5BC8" w14:textId="77777777" w:rsidR="00933173" w:rsidRPr="00D3779E" w:rsidRDefault="00933173" w:rsidP="000B5732">
            <w:pPr>
              <w:pStyle w:val="FormFieldCaption"/>
              <w:jc w:val="center"/>
              <w:rPr>
                <w:rStyle w:val="Emphasis"/>
                <w:sz w:val="22"/>
              </w:rPr>
            </w:pPr>
            <w:r w:rsidRPr="00D3779E">
              <w:rPr>
                <w:rStyle w:val="Emphasis"/>
                <w:sz w:val="22"/>
              </w:rPr>
              <w:t>(if applicable)</w:t>
            </w:r>
          </w:p>
          <w:p w14:paraId="32A0C014" w14:textId="77777777" w:rsidR="00933173" w:rsidRPr="00D3779E" w:rsidRDefault="00933173" w:rsidP="000B5732">
            <w:pPr>
              <w:pStyle w:val="FormFieldCaption"/>
              <w:rPr>
                <w:sz w:val="22"/>
              </w:rPr>
            </w:pPr>
          </w:p>
        </w:tc>
        <w:tc>
          <w:tcPr>
            <w:tcW w:w="1390" w:type="dxa"/>
            <w:tcBorders>
              <w:top w:val="single" w:sz="4" w:space="0" w:color="auto"/>
              <w:bottom w:val="single" w:sz="4" w:space="0" w:color="auto"/>
            </w:tcBorders>
            <w:vAlign w:val="center"/>
          </w:tcPr>
          <w:p w14:paraId="4ED3B33F" w14:textId="77777777" w:rsidR="00C1247F" w:rsidRPr="00D3779E" w:rsidRDefault="00C1247F" w:rsidP="000B5732">
            <w:pPr>
              <w:pStyle w:val="FormFieldCaption"/>
              <w:jc w:val="center"/>
              <w:rPr>
                <w:sz w:val="22"/>
              </w:rPr>
            </w:pPr>
            <w:r w:rsidRPr="00D3779E">
              <w:rPr>
                <w:sz w:val="22"/>
              </w:rPr>
              <w:t>Completion Date</w:t>
            </w:r>
          </w:p>
          <w:p w14:paraId="76B4E15A" w14:textId="09B57E40" w:rsidR="00933173" w:rsidRPr="00D3779E" w:rsidRDefault="00933173" w:rsidP="000B5732">
            <w:pPr>
              <w:pStyle w:val="FormFieldCaption"/>
              <w:jc w:val="center"/>
              <w:rPr>
                <w:sz w:val="22"/>
              </w:rPr>
            </w:pPr>
            <w:r w:rsidRPr="00D3779E">
              <w:rPr>
                <w:sz w:val="22"/>
              </w:rPr>
              <w:t>MM/YYYY</w:t>
            </w:r>
          </w:p>
          <w:p w14:paraId="143620A6" w14:textId="77777777" w:rsidR="00933173" w:rsidRPr="00D3779E" w:rsidRDefault="00933173" w:rsidP="000B5732">
            <w:pPr>
              <w:pStyle w:val="FormFieldCaption"/>
              <w:rPr>
                <w:sz w:val="22"/>
              </w:rPr>
            </w:pPr>
          </w:p>
        </w:tc>
        <w:tc>
          <w:tcPr>
            <w:tcW w:w="2559" w:type="dxa"/>
            <w:tcBorders>
              <w:top w:val="single" w:sz="4" w:space="0" w:color="auto"/>
              <w:bottom w:val="single" w:sz="4" w:space="0" w:color="auto"/>
            </w:tcBorders>
            <w:vAlign w:val="center"/>
          </w:tcPr>
          <w:p w14:paraId="7E87FA43" w14:textId="77777777" w:rsidR="00933173" w:rsidRPr="00D3779E" w:rsidRDefault="00933173" w:rsidP="000B5732">
            <w:pPr>
              <w:pStyle w:val="FormFieldCaption"/>
              <w:jc w:val="center"/>
              <w:rPr>
                <w:sz w:val="22"/>
              </w:rPr>
            </w:pPr>
            <w:r w:rsidRPr="00D3779E">
              <w:rPr>
                <w:sz w:val="22"/>
              </w:rPr>
              <w:t>FIELD OF STUDY</w:t>
            </w:r>
          </w:p>
          <w:p w14:paraId="4198E5FC" w14:textId="77777777" w:rsidR="00933173" w:rsidRPr="00D3779E" w:rsidRDefault="00933173" w:rsidP="000B5732">
            <w:pPr>
              <w:pStyle w:val="FormFieldCaption"/>
              <w:rPr>
                <w:sz w:val="22"/>
              </w:rPr>
            </w:pPr>
          </w:p>
        </w:tc>
      </w:tr>
      <w:tr w:rsidR="00933173" w:rsidRPr="00D3779E" w14:paraId="5CD50646" w14:textId="77777777" w:rsidTr="000B2D78">
        <w:trPr>
          <w:cantSplit/>
          <w:trHeight w:val="325"/>
        </w:trPr>
        <w:tc>
          <w:tcPr>
            <w:tcW w:w="5400" w:type="dxa"/>
            <w:tcBorders>
              <w:top w:val="single" w:sz="4" w:space="0" w:color="auto"/>
            </w:tcBorders>
          </w:tcPr>
          <w:p w14:paraId="3B0C531B" w14:textId="64F9257C" w:rsidR="008F64AC" w:rsidRPr="00977FA5" w:rsidRDefault="00A1476C" w:rsidP="00ED35D7">
            <w:pPr>
              <w:pStyle w:val="FormFieldCaption"/>
              <w:spacing w:before="20" w:after="20"/>
              <w:rPr>
                <w:sz w:val="22"/>
                <w:szCs w:val="22"/>
              </w:rPr>
            </w:pPr>
            <w:r w:rsidRPr="003B6B94">
              <w:rPr>
                <w:sz w:val="22"/>
                <w:szCs w:val="22"/>
              </w:rPr>
              <w:t>All India Institute of Medical Sciences (AIIMS), India</w:t>
            </w:r>
          </w:p>
        </w:tc>
        <w:tc>
          <w:tcPr>
            <w:tcW w:w="1350" w:type="dxa"/>
            <w:tcBorders>
              <w:top w:val="single" w:sz="4" w:space="0" w:color="auto"/>
            </w:tcBorders>
          </w:tcPr>
          <w:p w14:paraId="62DD05C1" w14:textId="78A92D81" w:rsidR="008F64AC" w:rsidRPr="00977FA5" w:rsidRDefault="00A1476C" w:rsidP="003E4A92">
            <w:pPr>
              <w:pStyle w:val="FormFieldCaption"/>
              <w:spacing w:before="20" w:after="20"/>
              <w:jc w:val="center"/>
              <w:rPr>
                <w:sz w:val="22"/>
                <w:szCs w:val="22"/>
              </w:rPr>
            </w:pPr>
            <w:r>
              <w:rPr>
                <w:sz w:val="22"/>
                <w:szCs w:val="22"/>
              </w:rPr>
              <w:t>B.S</w:t>
            </w:r>
          </w:p>
        </w:tc>
        <w:tc>
          <w:tcPr>
            <w:tcW w:w="1390" w:type="dxa"/>
            <w:tcBorders>
              <w:top w:val="single" w:sz="4" w:space="0" w:color="auto"/>
            </w:tcBorders>
          </w:tcPr>
          <w:p w14:paraId="543299E0" w14:textId="088527BE" w:rsidR="008F64AC" w:rsidRPr="00977FA5" w:rsidRDefault="00A1476C" w:rsidP="003E4A92">
            <w:pPr>
              <w:pStyle w:val="FormFieldCaption"/>
              <w:spacing w:before="20" w:after="20"/>
              <w:jc w:val="center"/>
              <w:rPr>
                <w:sz w:val="22"/>
                <w:szCs w:val="22"/>
              </w:rPr>
            </w:pPr>
            <w:r>
              <w:rPr>
                <w:sz w:val="22"/>
                <w:szCs w:val="22"/>
              </w:rPr>
              <w:t>07/2008</w:t>
            </w:r>
          </w:p>
        </w:tc>
        <w:tc>
          <w:tcPr>
            <w:tcW w:w="2559" w:type="dxa"/>
            <w:tcBorders>
              <w:top w:val="single" w:sz="4" w:space="0" w:color="auto"/>
            </w:tcBorders>
          </w:tcPr>
          <w:p w14:paraId="7BC5582F" w14:textId="38A7D639" w:rsidR="008F64AC" w:rsidRPr="00977FA5" w:rsidRDefault="00A1476C" w:rsidP="00ED35D7">
            <w:pPr>
              <w:pStyle w:val="FormFieldCaption"/>
              <w:spacing w:before="20" w:after="20"/>
              <w:rPr>
                <w:sz w:val="22"/>
                <w:szCs w:val="22"/>
              </w:rPr>
            </w:pPr>
            <w:r>
              <w:rPr>
                <w:sz w:val="22"/>
                <w:szCs w:val="22"/>
              </w:rPr>
              <w:t>Nursing</w:t>
            </w:r>
          </w:p>
        </w:tc>
      </w:tr>
      <w:tr w:rsidR="00933173" w:rsidRPr="00D3779E" w14:paraId="1515F345" w14:textId="77777777" w:rsidTr="000B2D78">
        <w:trPr>
          <w:cantSplit/>
          <w:trHeight w:val="325"/>
        </w:trPr>
        <w:tc>
          <w:tcPr>
            <w:tcW w:w="5400" w:type="dxa"/>
          </w:tcPr>
          <w:p w14:paraId="596C8D85" w14:textId="77777777" w:rsidR="00933173" w:rsidRDefault="00933173" w:rsidP="00ED35D7">
            <w:pPr>
              <w:pStyle w:val="FormFieldCaption"/>
              <w:spacing w:before="20" w:after="20"/>
              <w:rPr>
                <w:sz w:val="22"/>
                <w:szCs w:val="22"/>
              </w:rPr>
            </w:pPr>
          </w:p>
          <w:p w14:paraId="7DED23E7" w14:textId="7C82CC5E" w:rsidR="008F64AC" w:rsidRPr="00977FA5" w:rsidRDefault="00DB6E88" w:rsidP="00ED35D7">
            <w:pPr>
              <w:pStyle w:val="FormFieldCaption"/>
              <w:spacing w:before="20" w:after="20"/>
              <w:rPr>
                <w:sz w:val="22"/>
                <w:szCs w:val="22"/>
              </w:rPr>
            </w:pPr>
            <w:r>
              <w:rPr>
                <w:sz w:val="22"/>
                <w:szCs w:val="22"/>
              </w:rPr>
              <w:t>University of Minnesota, Minneapolis</w:t>
            </w:r>
          </w:p>
        </w:tc>
        <w:tc>
          <w:tcPr>
            <w:tcW w:w="1350" w:type="dxa"/>
          </w:tcPr>
          <w:p w14:paraId="2399E4F2" w14:textId="77777777" w:rsidR="008F64AC" w:rsidRDefault="008F64AC" w:rsidP="003E4A92">
            <w:pPr>
              <w:pStyle w:val="FormFieldCaption"/>
              <w:spacing w:before="20" w:after="20"/>
              <w:jc w:val="center"/>
              <w:rPr>
                <w:sz w:val="22"/>
                <w:szCs w:val="22"/>
              </w:rPr>
            </w:pPr>
          </w:p>
          <w:p w14:paraId="0D874BFC" w14:textId="02A229F5" w:rsidR="005B37B5" w:rsidRPr="00977FA5" w:rsidRDefault="00DB6E88" w:rsidP="003E4A92">
            <w:pPr>
              <w:pStyle w:val="FormFieldCaption"/>
              <w:spacing w:before="20" w:after="20"/>
              <w:jc w:val="center"/>
              <w:rPr>
                <w:sz w:val="22"/>
                <w:szCs w:val="22"/>
              </w:rPr>
            </w:pPr>
            <w:r>
              <w:rPr>
                <w:sz w:val="22"/>
                <w:szCs w:val="22"/>
              </w:rPr>
              <w:t>MPH</w:t>
            </w:r>
          </w:p>
        </w:tc>
        <w:tc>
          <w:tcPr>
            <w:tcW w:w="1390" w:type="dxa"/>
          </w:tcPr>
          <w:p w14:paraId="09A2F261" w14:textId="77777777" w:rsidR="00933173" w:rsidRDefault="00933173" w:rsidP="003E4A92">
            <w:pPr>
              <w:pStyle w:val="FormFieldCaption"/>
              <w:spacing w:before="20" w:after="20"/>
              <w:jc w:val="center"/>
              <w:rPr>
                <w:sz w:val="22"/>
                <w:szCs w:val="22"/>
              </w:rPr>
            </w:pPr>
          </w:p>
          <w:p w14:paraId="1A7AA7CA" w14:textId="44FB13A5" w:rsidR="008F64AC" w:rsidRPr="00977FA5" w:rsidRDefault="00A1476C" w:rsidP="003E4A92">
            <w:pPr>
              <w:pStyle w:val="FormFieldCaption"/>
              <w:spacing w:before="20" w:after="20"/>
              <w:jc w:val="center"/>
              <w:rPr>
                <w:sz w:val="22"/>
                <w:szCs w:val="22"/>
              </w:rPr>
            </w:pPr>
            <w:r>
              <w:rPr>
                <w:sz w:val="22"/>
                <w:szCs w:val="22"/>
              </w:rPr>
              <w:t>12/2012</w:t>
            </w:r>
          </w:p>
        </w:tc>
        <w:tc>
          <w:tcPr>
            <w:tcW w:w="2559" w:type="dxa"/>
          </w:tcPr>
          <w:p w14:paraId="58398E77" w14:textId="77777777" w:rsidR="008F64AC" w:rsidRDefault="008F64AC" w:rsidP="00ED35D7">
            <w:pPr>
              <w:pStyle w:val="FormFieldCaption"/>
              <w:spacing w:before="20" w:after="20"/>
              <w:rPr>
                <w:sz w:val="22"/>
                <w:szCs w:val="22"/>
              </w:rPr>
            </w:pPr>
          </w:p>
          <w:p w14:paraId="4CC74E5C" w14:textId="176BFE62" w:rsidR="005B37B5" w:rsidRPr="00977FA5" w:rsidRDefault="00A1476C" w:rsidP="00ED35D7">
            <w:pPr>
              <w:pStyle w:val="FormFieldCaption"/>
              <w:spacing w:before="20" w:after="20"/>
              <w:rPr>
                <w:sz w:val="22"/>
                <w:szCs w:val="22"/>
              </w:rPr>
            </w:pPr>
            <w:r>
              <w:rPr>
                <w:sz w:val="22"/>
                <w:szCs w:val="22"/>
              </w:rPr>
              <w:t xml:space="preserve">Biostatistics and </w:t>
            </w:r>
            <w:r w:rsidR="00DB6E88">
              <w:rPr>
                <w:sz w:val="22"/>
                <w:szCs w:val="22"/>
              </w:rPr>
              <w:t>Epidemiology</w:t>
            </w:r>
          </w:p>
        </w:tc>
      </w:tr>
      <w:tr w:rsidR="00933173" w:rsidRPr="00D3779E" w14:paraId="51E27C1C" w14:textId="77777777" w:rsidTr="000B2D78">
        <w:trPr>
          <w:cantSplit/>
          <w:trHeight w:val="325"/>
        </w:trPr>
        <w:tc>
          <w:tcPr>
            <w:tcW w:w="5400" w:type="dxa"/>
          </w:tcPr>
          <w:p w14:paraId="093ACEFF" w14:textId="77777777" w:rsidR="00933173" w:rsidRDefault="00933173" w:rsidP="00ED35D7">
            <w:pPr>
              <w:pStyle w:val="FormFieldCaption"/>
              <w:spacing w:before="20" w:after="20"/>
              <w:rPr>
                <w:sz w:val="22"/>
                <w:szCs w:val="22"/>
              </w:rPr>
            </w:pPr>
          </w:p>
          <w:p w14:paraId="66BC8FF0" w14:textId="3B044752" w:rsidR="008F64AC" w:rsidRPr="00977FA5" w:rsidRDefault="00DB6E88" w:rsidP="005B37B5">
            <w:pPr>
              <w:pStyle w:val="FormFieldCaption"/>
              <w:spacing w:before="20" w:after="20"/>
              <w:rPr>
                <w:sz w:val="22"/>
                <w:szCs w:val="22"/>
              </w:rPr>
            </w:pPr>
            <w:r>
              <w:rPr>
                <w:sz w:val="22"/>
                <w:szCs w:val="22"/>
              </w:rPr>
              <w:t>University of Minnesota, Minneapolis</w:t>
            </w:r>
          </w:p>
        </w:tc>
        <w:tc>
          <w:tcPr>
            <w:tcW w:w="1350" w:type="dxa"/>
          </w:tcPr>
          <w:p w14:paraId="3756A8A2" w14:textId="77777777" w:rsidR="00933173" w:rsidRDefault="00933173" w:rsidP="003E4A92">
            <w:pPr>
              <w:pStyle w:val="FormFieldCaption"/>
              <w:spacing w:before="20" w:after="20"/>
              <w:jc w:val="center"/>
              <w:rPr>
                <w:sz w:val="22"/>
                <w:szCs w:val="22"/>
              </w:rPr>
            </w:pPr>
          </w:p>
          <w:p w14:paraId="6AEADABA" w14:textId="48B47E3B" w:rsidR="008F64AC" w:rsidRPr="00977FA5" w:rsidRDefault="005B37B5" w:rsidP="003E4A92">
            <w:pPr>
              <w:pStyle w:val="FormFieldCaption"/>
              <w:spacing w:before="20" w:after="20"/>
              <w:jc w:val="center"/>
              <w:rPr>
                <w:sz w:val="22"/>
                <w:szCs w:val="22"/>
              </w:rPr>
            </w:pPr>
            <w:r>
              <w:rPr>
                <w:sz w:val="22"/>
                <w:szCs w:val="22"/>
              </w:rPr>
              <w:t>Ph</w:t>
            </w:r>
            <w:r w:rsidR="00D76CD6">
              <w:rPr>
                <w:sz w:val="22"/>
                <w:szCs w:val="22"/>
              </w:rPr>
              <w:t>.</w:t>
            </w:r>
            <w:r>
              <w:rPr>
                <w:sz w:val="22"/>
                <w:szCs w:val="22"/>
              </w:rPr>
              <w:t>D</w:t>
            </w:r>
            <w:r w:rsidR="00D76CD6">
              <w:rPr>
                <w:sz w:val="22"/>
                <w:szCs w:val="22"/>
              </w:rPr>
              <w:t>.</w:t>
            </w:r>
          </w:p>
        </w:tc>
        <w:tc>
          <w:tcPr>
            <w:tcW w:w="1390" w:type="dxa"/>
          </w:tcPr>
          <w:p w14:paraId="3CDBD77D" w14:textId="77777777" w:rsidR="00933173" w:rsidRDefault="00933173" w:rsidP="003E4A92">
            <w:pPr>
              <w:pStyle w:val="FormFieldCaption"/>
              <w:spacing w:before="20" w:after="20"/>
              <w:jc w:val="center"/>
              <w:rPr>
                <w:sz w:val="22"/>
                <w:szCs w:val="22"/>
              </w:rPr>
            </w:pPr>
          </w:p>
          <w:p w14:paraId="4ED60B07" w14:textId="374712A8" w:rsidR="008F64AC" w:rsidRPr="00977FA5" w:rsidRDefault="0085146D" w:rsidP="003E4A92">
            <w:pPr>
              <w:pStyle w:val="FormFieldCaption"/>
              <w:spacing w:before="20" w:after="20"/>
              <w:jc w:val="center"/>
              <w:rPr>
                <w:sz w:val="22"/>
                <w:szCs w:val="22"/>
              </w:rPr>
            </w:pPr>
            <w:r>
              <w:rPr>
                <w:sz w:val="22"/>
                <w:szCs w:val="22"/>
              </w:rPr>
              <w:t>05</w:t>
            </w:r>
            <w:r w:rsidR="00E614F1">
              <w:rPr>
                <w:sz w:val="22"/>
                <w:szCs w:val="22"/>
              </w:rPr>
              <w:t>/2023</w:t>
            </w:r>
          </w:p>
        </w:tc>
        <w:tc>
          <w:tcPr>
            <w:tcW w:w="2559" w:type="dxa"/>
          </w:tcPr>
          <w:p w14:paraId="22F52CEC" w14:textId="77777777" w:rsidR="00933173" w:rsidRDefault="00933173" w:rsidP="00ED35D7">
            <w:pPr>
              <w:pStyle w:val="FormFieldCaption"/>
              <w:spacing w:before="20" w:after="20"/>
              <w:rPr>
                <w:sz w:val="22"/>
                <w:szCs w:val="22"/>
              </w:rPr>
            </w:pPr>
          </w:p>
          <w:p w14:paraId="2303550C" w14:textId="15D67924" w:rsidR="008F64AC" w:rsidRPr="00977FA5" w:rsidRDefault="00A1476C" w:rsidP="00ED35D7">
            <w:pPr>
              <w:pStyle w:val="FormFieldCaption"/>
              <w:spacing w:before="20" w:after="20"/>
              <w:rPr>
                <w:sz w:val="22"/>
                <w:szCs w:val="22"/>
              </w:rPr>
            </w:pPr>
            <w:r>
              <w:rPr>
                <w:sz w:val="22"/>
                <w:szCs w:val="22"/>
              </w:rPr>
              <w:t>Bioinformatics and Computational Biology</w:t>
            </w:r>
          </w:p>
        </w:tc>
      </w:tr>
      <w:tr w:rsidR="00933173" w:rsidRPr="00D3779E" w14:paraId="09D52645" w14:textId="77777777" w:rsidTr="000B2D78">
        <w:trPr>
          <w:cantSplit/>
          <w:trHeight w:val="135"/>
        </w:trPr>
        <w:tc>
          <w:tcPr>
            <w:tcW w:w="5400" w:type="dxa"/>
          </w:tcPr>
          <w:p w14:paraId="76A4F390" w14:textId="77777777" w:rsidR="00933173" w:rsidRPr="00977FA5" w:rsidRDefault="00933173" w:rsidP="00ED35D7">
            <w:pPr>
              <w:pStyle w:val="FormFieldCaption"/>
              <w:spacing w:before="20" w:after="20"/>
              <w:rPr>
                <w:sz w:val="22"/>
                <w:szCs w:val="22"/>
              </w:rPr>
            </w:pPr>
          </w:p>
        </w:tc>
        <w:tc>
          <w:tcPr>
            <w:tcW w:w="1350" w:type="dxa"/>
          </w:tcPr>
          <w:p w14:paraId="3120D72C" w14:textId="77777777" w:rsidR="00933173" w:rsidRPr="00977FA5" w:rsidRDefault="00933173" w:rsidP="003E4A92">
            <w:pPr>
              <w:pStyle w:val="FormFieldCaption"/>
              <w:spacing w:before="20" w:after="20"/>
              <w:jc w:val="center"/>
              <w:rPr>
                <w:sz w:val="22"/>
                <w:szCs w:val="22"/>
              </w:rPr>
            </w:pPr>
          </w:p>
        </w:tc>
        <w:tc>
          <w:tcPr>
            <w:tcW w:w="1390" w:type="dxa"/>
          </w:tcPr>
          <w:p w14:paraId="53EB7033" w14:textId="77777777" w:rsidR="00933173" w:rsidRPr="00977FA5" w:rsidRDefault="00933173" w:rsidP="003E4A92">
            <w:pPr>
              <w:pStyle w:val="FormFieldCaption"/>
              <w:spacing w:before="20" w:after="20"/>
              <w:jc w:val="center"/>
              <w:rPr>
                <w:sz w:val="22"/>
                <w:szCs w:val="22"/>
              </w:rPr>
            </w:pPr>
          </w:p>
        </w:tc>
        <w:tc>
          <w:tcPr>
            <w:tcW w:w="2559" w:type="dxa"/>
          </w:tcPr>
          <w:p w14:paraId="4418E34F" w14:textId="77777777" w:rsidR="00933173" w:rsidRPr="00977FA5" w:rsidRDefault="00933173" w:rsidP="00ED35D7">
            <w:pPr>
              <w:pStyle w:val="FormFieldCaption"/>
              <w:spacing w:before="20" w:after="20"/>
              <w:rPr>
                <w:sz w:val="22"/>
                <w:szCs w:val="22"/>
              </w:rPr>
            </w:pPr>
          </w:p>
        </w:tc>
      </w:tr>
    </w:tbl>
    <w:p w14:paraId="1AA44CDE" w14:textId="77777777" w:rsidR="008D685B" w:rsidRDefault="008D685B" w:rsidP="008D685B">
      <w:pPr>
        <w:pStyle w:val="DataField11pt-Single"/>
        <w:rPr>
          <w:rStyle w:val="Strong"/>
        </w:rPr>
      </w:pPr>
      <w:r w:rsidRPr="00A128A0">
        <w:rPr>
          <w:rStyle w:val="Strong"/>
        </w:rPr>
        <w:t>A.</w:t>
      </w:r>
      <w:r w:rsidRPr="00A128A0">
        <w:rPr>
          <w:rStyle w:val="Strong"/>
        </w:rPr>
        <w:tab/>
        <w:t>Personal Statement</w:t>
      </w:r>
      <w:r>
        <w:rPr>
          <w:rStyle w:val="Strong"/>
        </w:rPr>
        <w:br/>
      </w:r>
    </w:p>
    <w:p w14:paraId="715295AE" w14:textId="5B577867" w:rsidR="00EB7179" w:rsidRDefault="008D685B" w:rsidP="008D685B">
      <w:pPr>
        <w:pStyle w:val="DataField11pt-Single"/>
        <w:rPr>
          <w:szCs w:val="22"/>
        </w:rPr>
      </w:pPr>
      <w:r w:rsidRPr="00BB0458">
        <w:rPr>
          <w:rStyle w:val="Strong"/>
          <w:b w:val="0"/>
        </w:rPr>
        <w:t xml:space="preserve">I </w:t>
      </w:r>
      <w:r w:rsidR="00DA0CAD">
        <w:rPr>
          <w:rStyle w:val="Strong"/>
          <w:b w:val="0"/>
        </w:rPr>
        <w:t>am an Assistant Professor in the Department of</w:t>
      </w:r>
      <w:r w:rsidR="004625A1">
        <w:rPr>
          <w:rStyle w:val="Strong"/>
          <w:b w:val="0"/>
        </w:rPr>
        <w:t xml:space="preserve"> </w:t>
      </w:r>
      <w:r w:rsidR="004625A1" w:rsidRPr="004625A1">
        <w:rPr>
          <w:rStyle w:val="Strong"/>
          <w:b w:val="0"/>
        </w:rPr>
        <w:t>Laboratory Medicine and Pathology at the University of Minnesota</w:t>
      </w:r>
      <w:r w:rsidR="004625A1">
        <w:rPr>
          <w:rStyle w:val="Strong"/>
          <w:b w:val="0"/>
        </w:rPr>
        <w:t>. My training</w:t>
      </w:r>
      <w:r w:rsidR="004625A1" w:rsidRPr="004625A1">
        <w:rPr>
          <w:rStyle w:val="Strong"/>
          <w:b w:val="0"/>
        </w:rPr>
        <w:t xml:space="preserve"> i</w:t>
      </w:r>
      <w:r w:rsidR="004625A1">
        <w:rPr>
          <w:rStyle w:val="Strong"/>
          <w:b w:val="0"/>
        </w:rPr>
        <w:t xml:space="preserve">s in bioinformatics and computational biology and my research expertise is in biomarkers of aging and age related diseases specifically </w:t>
      </w:r>
      <w:r w:rsidR="00923622">
        <w:rPr>
          <w:rStyle w:val="Strong"/>
          <w:b w:val="0"/>
        </w:rPr>
        <w:t>i</w:t>
      </w:r>
      <w:r w:rsidRPr="00BB0458">
        <w:rPr>
          <w:rStyle w:val="Strong"/>
          <w:b w:val="0"/>
        </w:rPr>
        <w:t xml:space="preserve">n identifying novel blood biomarkers of </w:t>
      </w:r>
      <w:r w:rsidR="00602D0A">
        <w:rPr>
          <w:rStyle w:val="Strong"/>
          <w:b w:val="0"/>
        </w:rPr>
        <w:t>AD/ADRD</w:t>
      </w:r>
      <w:r w:rsidRPr="00BB0458">
        <w:rPr>
          <w:rStyle w:val="Strong"/>
          <w:b w:val="0"/>
        </w:rPr>
        <w:t xml:space="preserve">. </w:t>
      </w:r>
      <w:r w:rsidR="00A712C5">
        <w:rPr>
          <w:rStyle w:val="Strong"/>
          <w:b w:val="0"/>
        </w:rPr>
        <w:t xml:space="preserve">For my Ph.D. </w:t>
      </w:r>
      <w:r w:rsidR="00923622">
        <w:rPr>
          <w:rStyle w:val="Strong"/>
          <w:b w:val="0"/>
        </w:rPr>
        <w:t>dissertation</w:t>
      </w:r>
      <w:r w:rsidR="00A712C5">
        <w:rPr>
          <w:rStyle w:val="Strong"/>
          <w:b w:val="0"/>
        </w:rPr>
        <w:t xml:space="preserve">, I developed a framework to integrate high dimensional omics data from blood and </w:t>
      </w:r>
      <w:r w:rsidR="00906DE9">
        <w:rPr>
          <w:rStyle w:val="Strong"/>
          <w:b w:val="0"/>
        </w:rPr>
        <w:t>developed a</w:t>
      </w:r>
      <w:r w:rsidR="00DA0CAD">
        <w:rPr>
          <w:rStyle w:val="Strong"/>
          <w:b w:val="0"/>
        </w:rPr>
        <w:t xml:space="preserve">n </w:t>
      </w:r>
      <w:r w:rsidR="00DA0CAD" w:rsidRPr="00DA0CAD">
        <w:rPr>
          <w:rStyle w:val="Strong"/>
          <w:b w:val="0"/>
        </w:rPr>
        <w:t>interpretable</w:t>
      </w:r>
      <w:r w:rsidR="00906DE9" w:rsidRPr="00DA0CAD">
        <w:rPr>
          <w:rStyle w:val="Strong"/>
          <w:b w:val="0"/>
        </w:rPr>
        <w:t xml:space="preserve"> machine learning model </w:t>
      </w:r>
      <w:r w:rsidR="00A712C5" w:rsidRPr="00DA0CAD">
        <w:rPr>
          <w:rStyle w:val="Strong"/>
          <w:b w:val="0"/>
        </w:rPr>
        <w:t>to predict dementia.</w:t>
      </w:r>
      <w:r w:rsidR="00DA0CAD" w:rsidRPr="00DA0CAD">
        <w:rPr>
          <w:rStyle w:val="Strong"/>
          <w:b w:val="0"/>
        </w:rPr>
        <w:t xml:space="preserve"> </w:t>
      </w:r>
      <w:r w:rsidRPr="00DA0CAD">
        <w:rPr>
          <w:szCs w:val="22"/>
        </w:rPr>
        <w:t xml:space="preserve">I have analyzed </w:t>
      </w:r>
      <w:r w:rsidR="00547D22" w:rsidRPr="00DA0CAD">
        <w:rPr>
          <w:szCs w:val="22"/>
        </w:rPr>
        <w:t xml:space="preserve">blood biomarker </w:t>
      </w:r>
      <w:r w:rsidRPr="00DA0CAD">
        <w:rPr>
          <w:szCs w:val="22"/>
        </w:rPr>
        <w:t xml:space="preserve">data from numerous epidemiological studies, including the Health and Retirement Study (HRS), Long Life Family Study (LLFS), Coronary Artery Risk Development in Young Adults (CARDIA) study and High School and Beyond (HS&amp;B). </w:t>
      </w:r>
      <w:r w:rsidR="00547D22" w:rsidRPr="00DA0CAD">
        <w:rPr>
          <w:szCs w:val="22"/>
        </w:rPr>
        <w:t>I currently</w:t>
      </w:r>
      <w:r w:rsidR="004625A1" w:rsidRPr="00DA0CAD">
        <w:rPr>
          <w:szCs w:val="22"/>
        </w:rPr>
        <w:t xml:space="preserve"> serve as </w:t>
      </w:r>
      <w:r w:rsidR="00923622" w:rsidRPr="00DA0CAD">
        <w:rPr>
          <w:szCs w:val="22"/>
        </w:rPr>
        <w:t>Principal I</w:t>
      </w:r>
      <w:r w:rsidR="004625A1" w:rsidRPr="00DA0CAD">
        <w:rPr>
          <w:szCs w:val="22"/>
        </w:rPr>
        <w:t xml:space="preserve">nvestigator on </w:t>
      </w:r>
      <w:r w:rsidR="00923622" w:rsidRPr="00DA0CAD">
        <w:rPr>
          <w:szCs w:val="22"/>
        </w:rPr>
        <w:t xml:space="preserve">the </w:t>
      </w:r>
      <w:r w:rsidR="004625A1" w:rsidRPr="00DA0CAD">
        <w:rPr>
          <w:szCs w:val="22"/>
        </w:rPr>
        <w:t xml:space="preserve">Center for </w:t>
      </w:r>
      <w:proofErr w:type="spellStart"/>
      <w:r w:rsidR="004625A1" w:rsidRPr="00DA0CAD">
        <w:rPr>
          <w:szCs w:val="22"/>
        </w:rPr>
        <w:t>Biodemography</w:t>
      </w:r>
      <w:proofErr w:type="spellEnd"/>
      <w:r w:rsidR="004625A1" w:rsidRPr="00DA0CAD">
        <w:rPr>
          <w:szCs w:val="22"/>
        </w:rPr>
        <w:t xml:space="preserve"> and Population Health (CBPH) USC/UCLA pilot grant to study “Deep learning-based blood transcriptome signatures associated with blood biochemical </w:t>
      </w:r>
      <w:proofErr w:type="spellStart"/>
      <w:r w:rsidR="004625A1" w:rsidRPr="00DA0CAD">
        <w:rPr>
          <w:szCs w:val="22"/>
        </w:rPr>
        <w:t>endotypes</w:t>
      </w:r>
      <w:proofErr w:type="spellEnd"/>
      <w:r w:rsidR="004625A1" w:rsidRPr="00DA0CAD">
        <w:rPr>
          <w:szCs w:val="22"/>
        </w:rPr>
        <w:t xml:space="preserve"> of Alzheimer’s disease and Alzheimer’s disease-related dementias”</w:t>
      </w:r>
      <w:r w:rsidR="00923622" w:rsidRPr="00DA0CAD">
        <w:rPr>
          <w:szCs w:val="22"/>
        </w:rPr>
        <w:t>. I also currently serve as Principal Investigator on the NIA Biomarker Network Annual Pilot Project</w:t>
      </w:r>
      <w:r w:rsidR="004625A1" w:rsidRPr="00DA0CAD">
        <w:rPr>
          <w:szCs w:val="22"/>
        </w:rPr>
        <w:t xml:space="preserve"> </w:t>
      </w:r>
      <w:r w:rsidR="00923622" w:rsidRPr="00DA0CAD">
        <w:rPr>
          <w:szCs w:val="22"/>
        </w:rPr>
        <w:t xml:space="preserve">to measure neuronal-derived </w:t>
      </w:r>
      <w:r w:rsidR="00923622">
        <w:rPr>
          <w:szCs w:val="22"/>
        </w:rPr>
        <w:t xml:space="preserve">plasma Extracellular </w:t>
      </w:r>
      <w:proofErr w:type="spellStart"/>
      <w:r w:rsidR="00923622">
        <w:rPr>
          <w:szCs w:val="22"/>
        </w:rPr>
        <w:t>V</w:t>
      </w:r>
      <w:r w:rsidR="00923622" w:rsidRPr="00923622">
        <w:rPr>
          <w:szCs w:val="22"/>
        </w:rPr>
        <w:t>esicles</w:t>
      </w:r>
      <w:proofErr w:type="spellEnd"/>
      <w:r w:rsidR="00923622" w:rsidRPr="00923622">
        <w:rPr>
          <w:szCs w:val="22"/>
        </w:rPr>
        <w:t xml:space="preserve"> (EVs) for mea</w:t>
      </w:r>
      <w:r w:rsidR="00923622">
        <w:rPr>
          <w:szCs w:val="22"/>
        </w:rPr>
        <w:t xml:space="preserve">surement of dementia biomarkers. </w:t>
      </w:r>
      <w:r w:rsidR="00923622" w:rsidRPr="00BB0458">
        <w:rPr>
          <w:szCs w:val="22"/>
        </w:rPr>
        <w:t xml:space="preserve">I bring a collaborative approach and strong student mentoring to research in translational science. I have extensive experience in statistical analysis of biomarker data </w:t>
      </w:r>
      <w:r w:rsidR="00923622">
        <w:rPr>
          <w:szCs w:val="22"/>
        </w:rPr>
        <w:t>from various</w:t>
      </w:r>
      <w:r w:rsidR="00923622" w:rsidRPr="00BB0458">
        <w:rPr>
          <w:szCs w:val="22"/>
        </w:rPr>
        <w:t xml:space="preserve"> clinical, experimental and epidemiological stud</w:t>
      </w:r>
      <w:r w:rsidR="00923622">
        <w:rPr>
          <w:szCs w:val="22"/>
        </w:rPr>
        <w:t>ies</w:t>
      </w:r>
      <w:r w:rsidR="00923622" w:rsidRPr="00BB0458">
        <w:rPr>
          <w:szCs w:val="22"/>
        </w:rPr>
        <w:t xml:space="preserve">. In addition, I have experience in developing bioinformatics pipelines for next generation sequencing analysis such as </w:t>
      </w:r>
      <w:proofErr w:type="spellStart"/>
      <w:r w:rsidR="00923622" w:rsidRPr="00BB0458">
        <w:rPr>
          <w:szCs w:val="22"/>
        </w:rPr>
        <w:t>RNAseq</w:t>
      </w:r>
      <w:proofErr w:type="spellEnd"/>
      <w:r w:rsidR="00923622" w:rsidRPr="00BB0458">
        <w:rPr>
          <w:szCs w:val="22"/>
        </w:rPr>
        <w:t xml:space="preserve">, </w:t>
      </w:r>
      <w:r w:rsidR="00DA0CAD">
        <w:rPr>
          <w:szCs w:val="22"/>
        </w:rPr>
        <w:t xml:space="preserve">DNA methylation, </w:t>
      </w:r>
      <w:r w:rsidR="00923622" w:rsidRPr="00BB0458">
        <w:rPr>
          <w:szCs w:val="22"/>
        </w:rPr>
        <w:t>whole genome sequencing and microbiome sequencing.</w:t>
      </w:r>
      <w:r w:rsidR="0095644F">
        <w:rPr>
          <w:szCs w:val="22"/>
        </w:rPr>
        <w:t xml:space="preserve"> </w:t>
      </w:r>
      <w:r w:rsidR="007752A3">
        <w:rPr>
          <w:szCs w:val="22"/>
        </w:rPr>
        <w:t xml:space="preserve">I have developed an interpretable machine learning model to integrate large-scale genetic variants, epigenetic and </w:t>
      </w:r>
      <w:proofErr w:type="spellStart"/>
      <w:r w:rsidR="007752A3">
        <w:rPr>
          <w:szCs w:val="22"/>
        </w:rPr>
        <w:t>transcriptomics</w:t>
      </w:r>
      <w:proofErr w:type="spellEnd"/>
      <w:r w:rsidR="007752A3">
        <w:rPr>
          <w:szCs w:val="22"/>
        </w:rPr>
        <w:t xml:space="preserve"> markers for dementia classification. </w:t>
      </w:r>
      <w:r w:rsidR="0095644F">
        <w:rPr>
          <w:szCs w:val="22"/>
        </w:rPr>
        <w:t>With my expertise in analyzing high dimensional omics data</w:t>
      </w:r>
      <w:r w:rsidR="007752A3">
        <w:rPr>
          <w:szCs w:val="22"/>
        </w:rPr>
        <w:t>, developing advanced machine learning models</w:t>
      </w:r>
      <w:r w:rsidR="0095644F">
        <w:rPr>
          <w:szCs w:val="22"/>
        </w:rPr>
        <w:t xml:space="preserve"> and partnership with experts in chronic kidney disease (CKD) in CARDIA and Framingham Heart Study (FHS), I aim to make significant scientific contributions to enable prevention and early identification of </w:t>
      </w:r>
      <w:r w:rsidR="007752A3">
        <w:rPr>
          <w:szCs w:val="22"/>
        </w:rPr>
        <w:t xml:space="preserve">transition in </w:t>
      </w:r>
      <w:r w:rsidR="006848F7">
        <w:rPr>
          <w:szCs w:val="22"/>
        </w:rPr>
        <w:t xml:space="preserve">albuminuria </w:t>
      </w:r>
      <w:r w:rsidR="0095644F">
        <w:rPr>
          <w:szCs w:val="22"/>
        </w:rPr>
        <w:t>by understanding th</w:t>
      </w:r>
      <w:r w:rsidR="006848F7">
        <w:rPr>
          <w:szCs w:val="22"/>
        </w:rPr>
        <w:t xml:space="preserve">e molecular mechanisms of </w:t>
      </w:r>
      <w:r w:rsidR="0095644F">
        <w:rPr>
          <w:szCs w:val="22"/>
        </w:rPr>
        <w:t xml:space="preserve">metabolic syndrome. This will </w:t>
      </w:r>
      <w:r w:rsidR="00DA0CAD">
        <w:rPr>
          <w:szCs w:val="22"/>
        </w:rPr>
        <w:t>enhance</w:t>
      </w:r>
      <w:r w:rsidR="0095644F">
        <w:rPr>
          <w:szCs w:val="22"/>
        </w:rPr>
        <w:t xml:space="preserve"> care and outcomes of patients suffering </w:t>
      </w:r>
      <w:r w:rsidR="00DA0CAD">
        <w:rPr>
          <w:szCs w:val="22"/>
        </w:rPr>
        <w:t xml:space="preserve">from </w:t>
      </w:r>
      <w:r w:rsidR="0095644F">
        <w:rPr>
          <w:szCs w:val="22"/>
        </w:rPr>
        <w:t>chronic kidney diseases</w:t>
      </w:r>
      <w:r w:rsidR="006848F7">
        <w:rPr>
          <w:szCs w:val="22"/>
        </w:rPr>
        <w:t xml:space="preserve"> in the middle age</w:t>
      </w:r>
      <w:r w:rsidR="0095644F">
        <w:rPr>
          <w:szCs w:val="22"/>
        </w:rPr>
        <w:t>.</w:t>
      </w:r>
    </w:p>
    <w:p w14:paraId="62F2AD14" w14:textId="77777777" w:rsidR="00EB7179" w:rsidRDefault="00EB7179" w:rsidP="008D685B">
      <w:pPr>
        <w:pStyle w:val="DataField11pt-Single"/>
        <w:rPr>
          <w:szCs w:val="22"/>
        </w:rPr>
      </w:pPr>
    </w:p>
    <w:p w14:paraId="4874B6C7" w14:textId="77777777" w:rsidR="00EB7179" w:rsidRDefault="00EB7179" w:rsidP="008D685B">
      <w:pPr>
        <w:pStyle w:val="DataField11pt-Single"/>
        <w:rPr>
          <w:szCs w:val="22"/>
        </w:rPr>
      </w:pPr>
      <w:r>
        <w:rPr>
          <w:szCs w:val="22"/>
        </w:rPr>
        <w:t>Ongoing projects that I would highlight include:</w:t>
      </w:r>
    </w:p>
    <w:p w14:paraId="2C6B6809" w14:textId="7741271A" w:rsidR="00EB7179" w:rsidRDefault="00EB7179" w:rsidP="008D685B">
      <w:pPr>
        <w:pStyle w:val="DataField11pt-Single"/>
        <w:rPr>
          <w:szCs w:val="22"/>
        </w:rPr>
      </w:pPr>
    </w:p>
    <w:p w14:paraId="7F348E69" w14:textId="16F6312B" w:rsidR="000A6EA9" w:rsidRPr="000A6EA9" w:rsidRDefault="000A6EA9" w:rsidP="000A6EA9">
      <w:pPr>
        <w:pStyle w:val="DataField11pt-Single"/>
        <w:rPr>
          <w:b/>
          <w:szCs w:val="22"/>
        </w:rPr>
      </w:pPr>
      <w:r w:rsidRPr="000A6EA9">
        <w:rPr>
          <w:b/>
          <w:szCs w:val="22"/>
        </w:rPr>
        <w:t xml:space="preserve">Deep learning-based blood transcriptome signatures associated with blood biochemical </w:t>
      </w:r>
      <w:proofErr w:type="spellStart"/>
      <w:r w:rsidRPr="000A6EA9">
        <w:rPr>
          <w:b/>
          <w:szCs w:val="22"/>
        </w:rPr>
        <w:t>endotypes</w:t>
      </w:r>
      <w:proofErr w:type="spellEnd"/>
      <w:r w:rsidRPr="000A6EA9">
        <w:rPr>
          <w:b/>
          <w:szCs w:val="22"/>
        </w:rPr>
        <w:t xml:space="preserve"> of</w:t>
      </w:r>
    </w:p>
    <w:p w14:paraId="19861153" w14:textId="1FDFE78F" w:rsidR="000A6EA9" w:rsidRPr="000A6EA9" w:rsidRDefault="000A6EA9" w:rsidP="000A6EA9">
      <w:pPr>
        <w:pStyle w:val="DataField11pt-Single"/>
        <w:rPr>
          <w:b/>
          <w:szCs w:val="22"/>
        </w:rPr>
      </w:pPr>
      <w:r w:rsidRPr="000A6EA9">
        <w:rPr>
          <w:b/>
          <w:szCs w:val="22"/>
        </w:rPr>
        <w:t>Alzheimer’s disease and Alzheimer’s disease-related dementias</w:t>
      </w:r>
    </w:p>
    <w:p w14:paraId="61FAA9EA" w14:textId="2EC1EF0A" w:rsidR="00EB7179" w:rsidRDefault="0062108A" w:rsidP="00EB7179">
      <w:pPr>
        <w:pStyle w:val="DataField11pt-Single"/>
        <w:rPr>
          <w:szCs w:val="22"/>
        </w:rPr>
      </w:pPr>
      <w:r>
        <w:rPr>
          <w:szCs w:val="22"/>
        </w:rPr>
        <w:lastRenderedPageBreak/>
        <w:t xml:space="preserve">NIH/NIA </w:t>
      </w:r>
      <w:r w:rsidRPr="0062108A">
        <w:rPr>
          <w:szCs w:val="22"/>
        </w:rPr>
        <w:t>P30AG017265</w:t>
      </w:r>
      <w:r>
        <w:rPr>
          <w:szCs w:val="22"/>
        </w:rPr>
        <w:t xml:space="preserve"> Subcontract to University of Southern California</w:t>
      </w:r>
    </w:p>
    <w:p w14:paraId="67248C0F" w14:textId="77777777" w:rsidR="000A6EA9" w:rsidRDefault="000A6EA9" w:rsidP="000A6EA9">
      <w:pPr>
        <w:pStyle w:val="DataField11pt-Single"/>
        <w:rPr>
          <w:szCs w:val="22"/>
        </w:rPr>
      </w:pPr>
      <w:proofErr w:type="gramStart"/>
      <w:r>
        <w:rPr>
          <w:szCs w:val="22"/>
        </w:rPr>
        <w:t>Alzheimer’s Disease</w:t>
      </w:r>
      <w:proofErr w:type="gramEnd"/>
      <w:r>
        <w:rPr>
          <w:szCs w:val="22"/>
        </w:rPr>
        <w:t xml:space="preserve"> and Alzheimer’s Disease Related Dementias</w:t>
      </w:r>
    </w:p>
    <w:p w14:paraId="68555683" w14:textId="46019017" w:rsidR="00EB7179" w:rsidRPr="00EB7179" w:rsidRDefault="00EB7179" w:rsidP="00EB7179">
      <w:pPr>
        <w:pStyle w:val="DataField11pt-Single"/>
        <w:rPr>
          <w:szCs w:val="22"/>
        </w:rPr>
      </w:pPr>
      <w:r>
        <w:rPr>
          <w:szCs w:val="22"/>
        </w:rPr>
        <w:t>Role: PI</w:t>
      </w:r>
    </w:p>
    <w:p w14:paraId="620C731A" w14:textId="450195D3" w:rsidR="000A6EA9" w:rsidRDefault="00EB7179" w:rsidP="00EB7179">
      <w:pPr>
        <w:pStyle w:val="DataField11pt-Single"/>
        <w:rPr>
          <w:szCs w:val="22"/>
        </w:rPr>
      </w:pPr>
      <w:r w:rsidRPr="00EB7179">
        <w:rPr>
          <w:szCs w:val="22"/>
        </w:rPr>
        <w:t>0</w:t>
      </w:r>
      <w:r w:rsidR="007D60EE">
        <w:rPr>
          <w:szCs w:val="22"/>
        </w:rPr>
        <w:t>7/01/23-6/30/24</w:t>
      </w:r>
    </w:p>
    <w:p w14:paraId="6B533537" w14:textId="4A6536CD" w:rsidR="000A6EA9" w:rsidRDefault="000A6EA9" w:rsidP="00EB7179">
      <w:pPr>
        <w:pStyle w:val="DataField11pt-Single"/>
        <w:rPr>
          <w:szCs w:val="22"/>
        </w:rPr>
      </w:pPr>
    </w:p>
    <w:p w14:paraId="27F4454B" w14:textId="3EC75127" w:rsidR="000A6EA9" w:rsidRPr="000A6EA9" w:rsidRDefault="000A6EA9" w:rsidP="000A6EA9">
      <w:pPr>
        <w:pStyle w:val="DataField11pt-Single"/>
        <w:rPr>
          <w:b/>
          <w:szCs w:val="22"/>
        </w:rPr>
      </w:pPr>
      <w:r w:rsidRPr="000A6EA9">
        <w:rPr>
          <w:b/>
          <w:szCs w:val="22"/>
        </w:rPr>
        <w:t xml:space="preserve">Neuronal-derived plasma Extracellular </w:t>
      </w:r>
      <w:proofErr w:type="spellStart"/>
      <w:r w:rsidRPr="000A6EA9">
        <w:rPr>
          <w:b/>
          <w:szCs w:val="22"/>
        </w:rPr>
        <w:t>vesicles</w:t>
      </w:r>
      <w:proofErr w:type="spellEnd"/>
      <w:r w:rsidRPr="000A6EA9">
        <w:rPr>
          <w:b/>
          <w:szCs w:val="22"/>
        </w:rPr>
        <w:t xml:space="preserve"> (EVs) for measurement of dementia biomarkers</w:t>
      </w:r>
    </w:p>
    <w:p w14:paraId="4012D113" w14:textId="65C485D8" w:rsidR="0062108A" w:rsidRPr="00EB7179" w:rsidRDefault="0062108A" w:rsidP="0062108A">
      <w:pPr>
        <w:pStyle w:val="DataField11pt-Single"/>
        <w:rPr>
          <w:szCs w:val="22"/>
        </w:rPr>
      </w:pPr>
      <w:r>
        <w:rPr>
          <w:szCs w:val="22"/>
        </w:rPr>
        <w:t>NIH/NIA</w:t>
      </w:r>
      <w:r w:rsidR="001C1071">
        <w:rPr>
          <w:szCs w:val="22"/>
        </w:rPr>
        <w:t xml:space="preserve"> </w:t>
      </w:r>
      <w:r w:rsidR="001C1071" w:rsidRPr="001C1071">
        <w:rPr>
          <w:szCs w:val="22"/>
        </w:rPr>
        <w:t>R24AG054365</w:t>
      </w:r>
      <w:r>
        <w:rPr>
          <w:szCs w:val="22"/>
        </w:rPr>
        <w:t xml:space="preserve"> Subcontract to Regents of the University of Michigan</w:t>
      </w:r>
    </w:p>
    <w:p w14:paraId="1C9D58C8" w14:textId="1B7D20F7" w:rsidR="0062108A" w:rsidRDefault="0062108A" w:rsidP="00EB7179">
      <w:pPr>
        <w:pStyle w:val="DataField11pt-Single"/>
        <w:rPr>
          <w:szCs w:val="22"/>
        </w:rPr>
      </w:pPr>
      <w:r w:rsidRPr="0062108A">
        <w:rPr>
          <w:szCs w:val="22"/>
        </w:rPr>
        <w:t>Network on Biomarker Collection and Measurement in Population Studies of Aging: 2022-2027</w:t>
      </w:r>
    </w:p>
    <w:p w14:paraId="4E662A37" w14:textId="77777777" w:rsidR="000A6EA9" w:rsidRPr="00EB7179" w:rsidRDefault="000A6EA9" w:rsidP="000A6EA9">
      <w:pPr>
        <w:pStyle w:val="DataField11pt-Single"/>
        <w:rPr>
          <w:szCs w:val="22"/>
        </w:rPr>
      </w:pPr>
      <w:r>
        <w:rPr>
          <w:szCs w:val="22"/>
        </w:rPr>
        <w:t>Role: PI</w:t>
      </w:r>
    </w:p>
    <w:p w14:paraId="2C25933A" w14:textId="43E14DFF" w:rsidR="008D685B" w:rsidRPr="000A6EA9" w:rsidRDefault="000A6EA9" w:rsidP="008D685B">
      <w:pPr>
        <w:pStyle w:val="DataField11pt-Single"/>
        <w:rPr>
          <w:rStyle w:val="Strong"/>
          <w:b w:val="0"/>
          <w:bCs w:val="0"/>
          <w:szCs w:val="22"/>
        </w:rPr>
      </w:pPr>
      <w:r w:rsidRPr="00EB7179">
        <w:rPr>
          <w:szCs w:val="22"/>
        </w:rPr>
        <w:t>0</w:t>
      </w:r>
      <w:r>
        <w:rPr>
          <w:szCs w:val="22"/>
        </w:rPr>
        <w:t>4/01/23-03/31/24</w:t>
      </w:r>
    </w:p>
    <w:p w14:paraId="388DE2D9" w14:textId="77777777" w:rsidR="008D685B" w:rsidRPr="00A128A0" w:rsidRDefault="008D685B" w:rsidP="008D685B">
      <w:pPr>
        <w:pStyle w:val="DataField11pt-Single"/>
        <w:rPr>
          <w:rStyle w:val="Strong"/>
        </w:rPr>
      </w:pPr>
    </w:p>
    <w:p w14:paraId="36448350" w14:textId="59F26D68" w:rsidR="008D685B" w:rsidRDefault="008D685B" w:rsidP="008D685B">
      <w:pPr>
        <w:pStyle w:val="DataField11pt-Single"/>
        <w:rPr>
          <w:rStyle w:val="Strong"/>
        </w:rPr>
      </w:pPr>
      <w:r w:rsidRPr="00A128A0">
        <w:rPr>
          <w:rStyle w:val="Strong"/>
        </w:rPr>
        <w:t>B.</w:t>
      </w:r>
      <w:r w:rsidRPr="00A128A0">
        <w:rPr>
          <w:rStyle w:val="Strong"/>
        </w:rPr>
        <w:tab/>
      </w:r>
      <w:r w:rsidR="004F6C39" w:rsidRPr="004F6C39">
        <w:rPr>
          <w:rStyle w:val="Strong"/>
        </w:rPr>
        <w:t>Positions, Scientific Appointments, and Honors</w:t>
      </w:r>
    </w:p>
    <w:p w14:paraId="7D6E5DCA" w14:textId="77777777" w:rsidR="008D685B" w:rsidRDefault="008D685B" w:rsidP="008D685B">
      <w:pPr>
        <w:pStyle w:val="DataField11pt-Single"/>
        <w:rPr>
          <w:rStyle w:val="Strong"/>
        </w:rPr>
      </w:pPr>
    </w:p>
    <w:p w14:paraId="0E110466" w14:textId="1D20A84B" w:rsidR="008D685B" w:rsidRDefault="001458B1" w:rsidP="008D685B">
      <w:pPr>
        <w:pStyle w:val="DataField11pt-Single"/>
        <w:rPr>
          <w:rStyle w:val="Strong"/>
        </w:rPr>
      </w:pPr>
      <w:r>
        <w:rPr>
          <w:rStyle w:val="Strong"/>
        </w:rPr>
        <w:t xml:space="preserve">Positions and </w:t>
      </w:r>
      <w:r w:rsidRPr="004F6C39">
        <w:rPr>
          <w:rStyle w:val="Strong"/>
        </w:rPr>
        <w:t>Scientific Appointments</w:t>
      </w:r>
    </w:p>
    <w:p w14:paraId="3DE273D4" w14:textId="77777777" w:rsidR="008D685B" w:rsidRPr="00FB6C33" w:rsidRDefault="008D685B" w:rsidP="008D685B">
      <w:pPr>
        <w:pStyle w:val="DataField11pt-Single"/>
        <w:rPr>
          <w:rStyle w:val="Strong"/>
        </w:rPr>
      </w:pPr>
    </w:p>
    <w:p w14:paraId="39EB2179" w14:textId="77777777" w:rsidR="00FB6C33" w:rsidRDefault="00FB6C33" w:rsidP="00FB6C33">
      <w:pPr>
        <w:pStyle w:val="DataField11pt-Single"/>
        <w:rPr>
          <w:rStyle w:val="Strong"/>
          <w:b w:val="0"/>
        </w:rPr>
      </w:pPr>
      <w:r>
        <w:rPr>
          <w:rStyle w:val="Strong"/>
          <w:b w:val="0"/>
        </w:rPr>
        <w:t>2023 -</w:t>
      </w:r>
      <w:r>
        <w:rPr>
          <w:rStyle w:val="Strong"/>
          <w:b w:val="0"/>
        </w:rPr>
        <w:tab/>
      </w:r>
      <w:r>
        <w:rPr>
          <w:rStyle w:val="Strong"/>
          <w:b w:val="0"/>
        </w:rPr>
        <w:tab/>
      </w:r>
      <w:r>
        <w:rPr>
          <w:rStyle w:val="Strong"/>
          <w:b w:val="0"/>
        </w:rPr>
        <w:tab/>
        <w:t xml:space="preserve">Assistant Professor, </w:t>
      </w:r>
      <w:r w:rsidRPr="00FB6C33">
        <w:rPr>
          <w:rStyle w:val="Strong"/>
          <w:b w:val="0"/>
        </w:rPr>
        <w:t>Department of Laboratory Medicine and Pathology, Medical School</w:t>
      </w:r>
      <w:r w:rsidRPr="009F1CB6">
        <w:rPr>
          <w:rStyle w:val="Strong"/>
          <w:b w:val="0"/>
        </w:rPr>
        <w:t>, University of Minnesota</w:t>
      </w:r>
    </w:p>
    <w:p w14:paraId="562824C4" w14:textId="7237FC1D" w:rsidR="00FB6C33" w:rsidRPr="00FB6C33" w:rsidRDefault="00FB6C33" w:rsidP="008D685B">
      <w:pPr>
        <w:pStyle w:val="DataField11pt-Single"/>
        <w:rPr>
          <w:rStyle w:val="Strong"/>
          <w:b w:val="0"/>
        </w:rPr>
      </w:pPr>
    </w:p>
    <w:p w14:paraId="33825D64" w14:textId="02E995E5" w:rsidR="008D685B" w:rsidRDefault="00FB6C33" w:rsidP="008D685B">
      <w:pPr>
        <w:pStyle w:val="DataField11pt-Single"/>
        <w:rPr>
          <w:rStyle w:val="Strong"/>
          <w:b w:val="0"/>
        </w:rPr>
      </w:pPr>
      <w:r w:rsidRPr="00FB6C33">
        <w:rPr>
          <w:rStyle w:val="Strong"/>
          <w:b w:val="0"/>
        </w:rPr>
        <w:t>2017-2023</w:t>
      </w:r>
      <w:r w:rsidRPr="00FB6C33">
        <w:rPr>
          <w:rStyle w:val="Strong"/>
          <w:b w:val="0"/>
        </w:rPr>
        <w:tab/>
      </w:r>
      <w:r w:rsidRPr="00FB6C33">
        <w:rPr>
          <w:rStyle w:val="Strong"/>
          <w:b w:val="0"/>
        </w:rPr>
        <w:tab/>
      </w:r>
      <w:r w:rsidR="008D685B" w:rsidRPr="00FB6C33">
        <w:rPr>
          <w:rStyle w:val="Strong"/>
          <w:b w:val="0"/>
        </w:rPr>
        <w:t>Researcher/</w:t>
      </w:r>
      <w:r w:rsidR="00602D0A" w:rsidRPr="00FB6C33">
        <w:rPr>
          <w:rStyle w:val="Strong"/>
          <w:b w:val="0"/>
        </w:rPr>
        <w:t>Computational Biologist</w:t>
      </w:r>
      <w:r w:rsidR="008D685B" w:rsidRPr="00FB6C33">
        <w:rPr>
          <w:rStyle w:val="Strong"/>
          <w:b w:val="0"/>
        </w:rPr>
        <w:t>, Department of Laboratory Medicine and Pathology, Medical School</w:t>
      </w:r>
      <w:r w:rsidR="008D685B" w:rsidRPr="009F1CB6">
        <w:rPr>
          <w:rStyle w:val="Strong"/>
          <w:b w:val="0"/>
        </w:rPr>
        <w:t>, University of Minnesota</w:t>
      </w:r>
    </w:p>
    <w:p w14:paraId="2B4582D9" w14:textId="77777777" w:rsidR="008D685B" w:rsidRDefault="008D685B" w:rsidP="008D685B">
      <w:pPr>
        <w:pStyle w:val="DataField11pt-Single"/>
        <w:rPr>
          <w:rStyle w:val="Strong"/>
          <w:b w:val="0"/>
        </w:rPr>
      </w:pPr>
    </w:p>
    <w:p w14:paraId="24B9772E" w14:textId="5A34FEF4" w:rsidR="008D685B" w:rsidRDefault="008D685B" w:rsidP="008D685B">
      <w:pPr>
        <w:pStyle w:val="DataField11pt-Single"/>
        <w:rPr>
          <w:rStyle w:val="Strong"/>
          <w:b w:val="0"/>
        </w:rPr>
      </w:pPr>
      <w:r w:rsidRPr="00FB6C33">
        <w:rPr>
          <w:rStyle w:val="Strong"/>
          <w:b w:val="0"/>
        </w:rPr>
        <w:t>2015-2017</w:t>
      </w:r>
      <w:r w:rsidR="00FB6C33" w:rsidRPr="00FB6C33">
        <w:rPr>
          <w:rStyle w:val="Strong"/>
          <w:b w:val="0"/>
        </w:rPr>
        <w:tab/>
      </w:r>
      <w:r w:rsidR="00FB6C33">
        <w:rPr>
          <w:rStyle w:val="Strong"/>
          <w:b w:val="0"/>
        </w:rPr>
        <w:tab/>
      </w:r>
      <w:r w:rsidRPr="009F1CB6">
        <w:rPr>
          <w:rStyle w:val="Strong"/>
          <w:b w:val="0"/>
        </w:rPr>
        <w:t>Clinical Research Data Analyst</w:t>
      </w:r>
      <w:r>
        <w:rPr>
          <w:rStyle w:val="Strong"/>
          <w:b w:val="0"/>
        </w:rPr>
        <w:t xml:space="preserve">, </w:t>
      </w:r>
      <w:r w:rsidRPr="009F1CB6">
        <w:rPr>
          <w:rStyle w:val="Strong"/>
          <w:b w:val="0"/>
        </w:rPr>
        <w:t>Clinical Informatics Shared Services, CTSI, University of Minnesota</w:t>
      </w:r>
    </w:p>
    <w:p w14:paraId="7A1DE9F6" w14:textId="77777777" w:rsidR="008D685B" w:rsidRDefault="008D685B" w:rsidP="008D685B">
      <w:pPr>
        <w:pStyle w:val="DataField11pt-Single"/>
        <w:rPr>
          <w:rStyle w:val="Strong"/>
          <w:b w:val="0"/>
        </w:rPr>
      </w:pPr>
    </w:p>
    <w:p w14:paraId="68A582CB" w14:textId="4418CDFC" w:rsidR="008D685B" w:rsidRDefault="008D685B" w:rsidP="008D685B">
      <w:pPr>
        <w:pStyle w:val="DataField11pt-Single"/>
        <w:rPr>
          <w:rStyle w:val="Strong"/>
          <w:b w:val="0"/>
        </w:rPr>
      </w:pPr>
      <w:r w:rsidRPr="00FB6C33">
        <w:rPr>
          <w:rStyle w:val="Strong"/>
          <w:b w:val="0"/>
        </w:rPr>
        <w:t>2014-2015</w:t>
      </w:r>
      <w:r w:rsidR="00FB6C33" w:rsidRPr="00FB6C33">
        <w:rPr>
          <w:rStyle w:val="Strong"/>
          <w:b w:val="0"/>
        </w:rPr>
        <w:tab/>
      </w:r>
      <w:r w:rsidR="00FB6C33">
        <w:rPr>
          <w:rStyle w:val="Strong"/>
          <w:b w:val="0"/>
        </w:rPr>
        <w:tab/>
      </w:r>
      <w:r w:rsidRPr="009F1CB6">
        <w:rPr>
          <w:rStyle w:val="Strong"/>
          <w:b w:val="0"/>
        </w:rPr>
        <w:t>Statistical Programmer Analyst</w:t>
      </w:r>
      <w:r>
        <w:rPr>
          <w:rStyle w:val="Strong"/>
          <w:b w:val="0"/>
        </w:rPr>
        <w:t xml:space="preserve">, </w:t>
      </w:r>
      <w:r w:rsidRPr="009F1CB6">
        <w:rPr>
          <w:rStyle w:val="Strong"/>
          <w:b w:val="0"/>
        </w:rPr>
        <w:t>Division of Biostatistics and Informatics, Health Science Research, Mayo Clinic, Rochester, MN</w:t>
      </w:r>
    </w:p>
    <w:p w14:paraId="30978C79" w14:textId="77777777" w:rsidR="008D685B" w:rsidRDefault="008D685B" w:rsidP="008D685B">
      <w:pPr>
        <w:pStyle w:val="DataField11pt-Single"/>
        <w:rPr>
          <w:rStyle w:val="Strong"/>
          <w:b w:val="0"/>
        </w:rPr>
      </w:pPr>
    </w:p>
    <w:p w14:paraId="40F4D8EC" w14:textId="0C6FE911" w:rsidR="008D685B" w:rsidRPr="009F1CB6" w:rsidRDefault="00923622" w:rsidP="008D685B">
      <w:pPr>
        <w:pStyle w:val="DataField11pt-Single"/>
        <w:rPr>
          <w:rStyle w:val="Strong"/>
          <w:b w:val="0"/>
        </w:rPr>
      </w:pPr>
      <w:r w:rsidRPr="00FB6C33">
        <w:rPr>
          <w:rStyle w:val="Strong"/>
          <w:b w:val="0"/>
        </w:rPr>
        <w:t>2013</w:t>
      </w:r>
      <w:r w:rsidR="00FB6C33">
        <w:rPr>
          <w:rStyle w:val="Strong"/>
          <w:b w:val="0"/>
        </w:rPr>
        <w:tab/>
      </w:r>
      <w:r w:rsidR="00FB6C33">
        <w:rPr>
          <w:rStyle w:val="Strong"/>
          <w:b w:val="0"/>
        </w:rPr>
        <w:tab/>
      </w:r>
      <w:r w:rsidR="00FB6C33">
        <w:rPr>
          <w:rStyle w:val="Strong"/>
          <w:b w:val="0"/>
        </w:rPr>
        <w:tab/>
      </w:r>
      <w:r w:rsidR="008D685B">
        <w:rPr>
          <w:rStyle w:val="Strong"/>
          <w:b w:val="0"/>
        </w:rPr>
        <w:t xml:space="preserve">Research Trainee </w:t>
      </w:r>
      <w:r w:rsidR="008D685B" w:rsidRPr="009F1CB6">
        <w:rPr>
          <w:rStyle w:val="Strong"/>
          <w:b w:val="0"/>
        </w:rPr>
        <w:t>CTSA Metabolomics Core</w:t>
      </w:r>
      <w:r w:rsidR="008D685B">
        <w:rPr>
          <w:rStyle w:val="Strong"/>
          <w:b w:val="0"/>
        </w:rPr>
        <w:t xml:space="preserve">, </w:t>
      </w:r>
      <w:r w:rsidR="008D685B" w:rsidRPr="009F1CB6">
        <w:rPr>
          <w:rStyle w:val="Strong"/>
          <w:b w:val="0"/>
        </w:rPr>
        <w:t>Mayo Clinic, Rochester, MN</w:t>
      </w:r>
      <w:r w:rsidR="008D685B" w:rsidRPr="009F1CB6">
        <w:rPr>
          <w:rStyle w:val="Strong"/>
          <w:b w:val="0"/>
        </w:rPr>
        <w:br/>
      </w:r>
    </w:p>
    <w:p w14:paraId="5CA88A74" w14:textId="7A3B9ECD" w:rsidR="00602D0A" w:rsidRDefault="008D685B" w:rsidP="008D685B">
      <w:pPr>
        <w:pStyle w:val="DataField11pt-Single"/>
        <w:rPr>
          <w:rStyle w:val="Strong"/>
        </w:rPr>
      </w:pPr>
      <w:r>
        <w:rPr>
          <w:rStyle w:val="Strong"/>
        </w:rPr>
        <w:t>Honors</w:t>
      </w:r>
    </w:p>
    <w:p w14:paraId="57832D05" w14:textId="5E6304F0" w:rsidR="00FB6C33" w:rsidRDefault="00FB6C33" w:rsidP="008D685B">
      <w:pPr>
        <w:pStyle w:val="DataField11pt-Single"/>
        <w:rPr>
          <w:rStyle w:val="Strong"/>
        </w:rPr>
      </w:pPr>
    </w:p>
    <w:p w14:paraId="69988AA3" w14:textId="7F33D25F" w:rsidR="00FB6C33" w:rsidRDefault="00FB6C33" w:rsidP="00FB6C33">
      <w:pPr>
        <w:pStyle w:val="DataField11pt-Single"/>
      </w:pPr>
      <w:r>
        <w:rPr>
          <w:rStyle w:val="Strong"/>
          <w:b w:val="0"/>
        </w:rPr>
        <w:t>2023</w:t>
      </w:r>
      <w:r w:rsidRPr="00FB6C33">
        <w:rPr>
          <w:rStyle w:val="Strong"/>
          <w:b w:val="0"/>
        </w:rPr>
        <w:tab/>
      </w:r>
      <w:r w:rsidRPr="00226E1F">
        <w:t xml:space="preserve">Paul E. </w:t>
      </w:r>
      <w:proofErr w:type="spellStart"/>
      <w:r w:rsidRPr="00226E1F">
        <w:t>Strandjord</w:t>
      </w:r>
      <w:proofErr w:type="spellEnd"/>
      <w:r w:rsidRPr="00226E1F">
        <w:t xml:space="preserve"> Young Investigator Award, ACLPS</w:t>
      </w:r>
    </w:p>
    <w:p w14:paraId="40DB3DFC" w14:textId="021A8BE3" w:rsidR="00FB6C33" w:rsidRDefault="00FB6C33" w:rsidP="00FB6C33">
      <w:pPr>
        <w:pStyle w:val="DataField11pt-Single"/>
      </w:pPr>
      <w:r>
        <w:rPr>
          <w:rStyle w:val="Strong"/>
          <w:b w:val="0"/>
        </w:rPr>
        <w:t>2022</w:t>
      </w:r>
      <w:r w:rsidRPr="00FB6C33">
        <w:rPr>
          <w:rStyle w:val="Strong"/>
          <w:b w:val="0"/>
        </w:rPr>
        <w:tab/>
      </w:r>
      <w:r w:rsidRPr="00226E1F">
        <w:t xml:space="preserve">Paul E. </w:t>
      </w:r>
      <w:proofErr w:type="spellStart"/>
      <w:r w:rsidRPr="00226E1F">
        <w:t>Strandjord</w:t>
      </w:r>
      <w:proofErr w:type="spellEnd"/>
      <w:r w:rsidRPr="00226E1F">
        <w:t xml:space="preserve"> Young Investigator Award, ACLPS</w:t>
      </w:r>
    </w:p>
    <w:p w14:paraId="4F75433A" w14:textId="71422F9F" w:rsidR="00FB6C33" w:rsidRDefault="00FB6C33" w:rsidP="00FB6C33">
      <w:pPr>
        <w:pStyle w:val="DataField11pt-Single"/>
      </w:pPr>
      <w:r>
        <w:t xml:space="preserve">2019 </w:t>
      </w:r>
      <w:r>
        <w:tab/>
      </w:r>
      <w:r w:rsidRPr="008A41CF">
        <w:t>Career Enhancement Award, Brain Tumor Program University of Minnesota</w:t>
      </w:r>
    </w:p>
    <w:p w14:paraId="0DF82EC8" w14:textId="6ADEA401" w:rsidR="008D685B" w:rsidRPr="00A128A0" w:rsidRDefault="008D685B" w:rsidP="008D685B">
      <w:pPr>
        <w:pStyle w:val="DataField11pt-Single"/>
        <w:rPr>
          <w:rStyle w:val="Strong"/>
        </w:rPr>
      </w:pPr>
    </w:p>
    <w:p w14:paraId="771FB767" w14:textId="77777777" w:rsidR="00A712C5" w:rsidRDefault="008D685B" w:rsidP="008D685B">
      <w:pPr>
        <w:pStyle w:val="DataField11pt-Single"/>
        <w:rPr>
          <w:rStyle w:val="Strong"/>
        </w:rPr>
      </w:pPr>
      <w:r w:rsidRPr="00A128A0">
        <w:rPr>
          <w:rStyle w:val="Strong"/>
        </w:rPr>
        <w:t>C.</w:t>
      </w:r>
      <w:r w:rsidRPr="00A128A0">
        <w:rPr>
          <w:rStyle w:val="Strong"/>
        </w:rPr>
        <w:tab/>
        <w:t>Contributions to Science</w:t>
      </w:r>
    </w:p>
    <w:p w14:paraId="28B53EEC" w14:textId="77777777" w:rsidR="00A712C5" w:rsidRDefault="00A712C5" w:rsidP="008D685B">
      <w:pPr>
        <w:pStyle w:val="DataField11pt-Single"/>
        <w:rPr>
          <w:rStyle w:val="Strong"/>
        </w:rPr>
      </w:pPr>
    </w:p>
    <w:p w14:paraId="05277878" w14:textId="7C2FF978" w:rsidR="008D685B" w:rsidRPr="00A128A0" w:rsidRDefault="00A712C5" w:rsidP="008D685B">
      <w:pPr>
        <w:pStyle w:val="DataField11pt-Single"/>
        <w:rPr>
          <w:rStyle w:val="Strong"/>
        </w:rPr>
      </w:pPr>
      <w:r>
        <w:rPr>
          <w:rStyle w:val="Strong"/>
        </w:rPr>
        <w:t xml:space="preserve">Statistical analysis </w:t>
      </w:r>
      <w:r w:rsidR="009357AF">
        <w:rPr>
          <w:rStyle w:val="Strong"/>
        </w:rPr>
        <w:t xml:space="preserve">and Bioinformatics </w:t>
      </w:r>
      <w:r>
        <w:rPr>
          <w:rStyle w:val="Strong"/>
        </w:rPr>
        <w:t xml:space="preserve">support for multi-center </w:t>
      </w:r>
      <w:r w:rsidR="002212A2">
        <w:rPr>
          <w:rStyle w:val="Strong"/>
        </w:rPr>
        <w:t xml:space="preserve">clinical and </w:t>
      </w:r>
      <w:r>
        <w:rPr>
          <w:rStyle w:val="Strong"/>
        </w:rPr>
        <w:t>epidemiological studies:</w:t>
      </w:r>
      <w:r w:rsidR="002212A2">
        <w:rPr>
          <w:rStyle w:val="Strong"/>
        </w:rPr>
        <w:t xml:space="preserve"> </w:t>
      </w:r>
      <w:r w:rsidR="002212A2" w:rsidRPr="002212A2">
        <w:rPr>
          <w:rStyle w:val="Strong"/>
          <w:b w:val="0"/>
        </w:rPr>
        <w:t xml:space="preserve">Given my education and training in </w:t>
      </w:r>
      <w:r w:rsidR="0076139F">
        <w:rPr>
          <w:rStyle w:val="Strong"/>
          <w:b w:val="0"/>
        </w:rPr>
        <w:t xml:space="preserve">computational biology, </w:t>
      </w:r>
      <w:r w:rsidR="002212A2" w:rsidRPr="002212A2">
        <w:rPr>
          <w:rStyle w:val="Strong"/>
          <w:b w:val="0"/>
        </w:rPr>
        <w:t xml:space="preserve">biostatistics and epidemiology, I have provided </w:t>
      </w:r>
      <w:r w:rsidR="002212A2">
        <w:rPr>
          <w:rStyle w:val="Strong"/>
          <w:b w:val="0"/>
        </w:rPr>
        <w:t xml:space="preserve">statistical </w:t>
      </w:r>
      <w:r w:rsidR="0076139F">
        <w:rPr>
          <w:rStyle w:val="Strong"/>
          <w:b w:val="0"/>
        </w:rPr>
        <w:t xml:space="preserve">analysis and bioinformatics </w:t>
      </w:r>
      <w:r w:rsidR="002212A2">
        <w:rPr>
          <w:rStyle w:val="Strong"/>
          <w:b w:val="0"/>
        </w:rPr>
        <w:t>support for numerous clinical and epidemiological studies during my academic appointment. My research has been focused on identifying blood biomarkers that are associated with age related diseases such as diabetes and dementia.</w:t>
      </w:r>
      <w:r w:rsidR="008D685B" w:rsidRPr="002212A2">
        <w:rPr>
          <w:rStyle w:val="Strong"/>
        </w:rPr>
        <w:br/>
      </w:r>
    </w:p>
    <w:p w14:paraId="15C960D5" w14:textId="39921CCB" w:rsidR="0038591E" w:rsidRDefault="00997F94" w:rsidP="00997F94">
      <w:pPr>
        <w:pStyle w:val="ListParagraph"/>
        <w:numPr>
          <w:ilvl w:val="0"/>
          <w:numId w:val="34"/>
        </w:numPr>
        <w:jc w:val="both"/>
        <w:rPr>
          <w:rFonts w:cs="Arial"/>
          <w:bCs/>
        </w:rPr>
      </w:pPr>
      <w:r w:rsidRPr="00997F94">
        <w:rPr>
          <w:rFonts w:cs="Arial"/>
          <w:b/>
          <w:bCs/>
        </w:rPr>
        <w:t>Vivek S</w:t>
      </w:r>
      <w:r w:rsidR="0038591E">
        <w:rPr>
          <w:rFonts w:cs="Arial"/>
          <w:b/>
          <w:bCs/>
        </w:rPr>
        <w:t>.</w:t>
      </w:r>
      <w:r w:rsidRPr="00997F94">
        <w:rPr>
          <w:rFonts w:cs="Arial"/>
          <w:bCs/>
        </w:rPr>
        <w:t xml:space="preserve">, </w:t>
      </w:r>
      <w:proofErr w:type="spellStart"/>
      <w:r w:rsidRPr="00997F94">
        <w:rPr>
          <w:rFonts w:cs="Arial"/>
          <w:bCs/>
        </w:rPr>
        <w:t>Faul</w:t>
      </w:r>
      <w:proofErr w:type="spellEnd"/>
      <w:r w:rsidRPr="00997F94">
        <w:rPr>
          <w:rFonts w:cs="Arial"/>
          <w:bCs/>
        </w:rPr>
        <w:t xml:space="preserve"> J,</w:t>
      </w:r>
      <w:r>
        <w:rPr>
          <w:rFonts w:cs="Arial"/>
          <w:bCs/>
        </w:rPr>
        <w:t xml:space="preserve"> </w:t>
      </w:r>
      <w:proofErr w:type="spellStart"/>
      <w:r w:rsidRPr="00997F94">
        <w:rPr>
          <w:rFonts w:cs="Arial"/>
          <w:bCs/>
        </w:rPr>
        <w:t>Crimmins</w:t>
      </w:r>
      <w:proofErr w:type="spellEnd"/>
      <w:r w:rsidRPr="00997F94">
        <w:rPr>
          <w:rFonts w:cs="Arial"/>
          <w:bCs/>
        </w:rPr>
        <w:t xml:space="preserve"> EM, </w:t>
      </w:r>
      <w:proofErr w:type="spellStart"/>
      <w:r w:rsidRPr="00997F94">
        <w:rPr>
          <w:rFonts w:cs="Arial"/>
          <w:bCs/>
        </w:rPr>
        <w:t>Thyagarajan</w:t>
      </w:r>
      <w:proofErr w:type="spellEnd"/>
      <w:r>
        <w:rPr>
          <w:rFonts w:cs="Arial"/>
          <w:bCs/>
        </w:rPr>
        <w:t xml:space="preserve"> B</w:t>
      </w:r>
      <w:r w:rsidRPr="00997F94">
        <w:rPr>
          <w:rFonts w:cs="Arial"/>
          <w:bCs/>
        </w:rPr>
        <w:t>, Guan</w:t>
      </w:r>
      <w:r>
        <w:rPr>
          <w:rFonts w:cs="Arial"/>
          <w:bCs/>
        </w:rPr>
        <w:t xml:space="preserve"> W. </w:t>
      </w:r>
      <w:r w:rsidRPr="00997F94">
        <w:rPr>
          <w:rFonts w:cs="Arial"/>
          <w:bCs/>
        </w:rPr>
        <w:t xml:space="preserve">Explainable </w:t>
      </w:r>
      <w:proofErr w:type="spellStart"/>
      <w:r w:rsidRPr="00997F94">
        <w:rPr>
          <w:rFonts w:cs="Arial"/>
          <w:bCs/>
        </w:rPr>
        <w:t>variational</w:t>
      </w:r>
      <w:proofErr w:type="spellEnd"/>
      <w:r w:rsidRPr="00997F94">
        <w:rPr>
          <w:rFonts w:cs="Arial"/>
          <w:bCs/>
        </w:rPr>
        <w:t xml:space="preserve"> </w:t>
      </w:r>
      <w:proofErr w:type="spellStart"/>
      <w:r w:rsidRPr="00997F94">
        <w:rPr>
          <w:rFonts w:cs="Arial"/>
          <w:bCs/>
        </w:rPr>
        <w:t>autoencoder</w:t>
      </w:r>
      <w:proofErr w:type="spellEnd"/>
      <w:r w:rsidRPr="00997F94">
        <w:rPr>
          <w:rFonts w:cs="Arial"/>
          <w:bCs/>
        </w:rPr>
        <w:t xml:space="preserve"> (E-VAE) model using genome-wide SNPs to predict dementia</w:t>
      </w:r>
      <w:r>
        <w:rPr>
          <w:rFonts w:cs="Arial"/>
          <w:bCs/>
        </w:rPr>
        <w:t>. Under review in Journal of Biomedical Informatics.</w:t>
      </w:r>
    </w:p>
    <w:p w14:paraId="35675AA8" w14:textId="7F323E0A" w:rsidR="00316EB4" w:rsidRDefault="00316EB4" w:rsidP="00316EB4">
      <w:pPr>
        <w:pStyle w:val="ListParagraph"/>
        <w:numPr>
          <w:ilvl w:val="0"/>
          <w:numId w:val="34"/>
        </w:numPr>
        <w:jc w:val="both"/>
        <w:rPr>
          <w:rFonts w:cs="Arial"/>
          <w:bCs/>
        </w:rPr>
      </w:pPr>
      <w:r w:rsidRPr="00316EB4">
        <w:rPr>
          <w:rFonts w:cs="Arial"/>
          <w:bCs/>
        </w:rPr>
        <w:t xml:space="preserve">Wang S, </w:t>
      </w:r>
      <w:proofErr w:type="spellStart"/>
      <w:r w:rsidRPr="00316EB4">
        <w:rPr>
          <w:rFonts w:cs="Arial"/>
          <w:bCs/>
        </w:rPr>
        <w:t>Prizme</w:t>
      </w:r>
      <w:bookmarkStart w:id="0" w:name="_GoBack"/>
      <w:bookmarkEnd w:id="0"/>
      <w:r w:rsidRPr="00316EB4">
        <w:rPr>
          <w:rFonts w:cs="Arial"/>
          <w:bCs/>
        </w:rPr>
        <w:t>nt</w:t>
      </w:r>
      <w:proofErr w:type="spellEnd"/>
      <w:r w:rsidRPr="00316EB4">
        <w:rPr>
          <w:rFonts w:cs="Arial"/>
          <w:bCs/>
        </w:rPr>
        <w:t xml:space="preserve"> A, </w:t>
      </w:r>
      <w:proofErr w:type="spellStart"/>
      <w:r w:rsidRPr="00316EB4">
        <w:rPr>
          <w:rFonts w:cs="Arial"/>
          <w:bCs/>
        </w:rPr>
        <w:t>Moshele</w:t>
      </w:r>
      <w:proofErr w:type="spellEnd"/>
      <w:r w:rsidRPr="00316EB4">
        <w:rPr>
          <w:rFonts w:cs="Arial"/>
          <w:bCs/>
        </w:rPr>
        <w:t xml:space="preserve"> P, </w:t>
      </w:r>
      <w:r w:rsidRPr="00316EB4">
        <w:rPr>
          <w:rFonts w:cs="Arial"/>
          <w:b/>
          <w:bCs/>
        </w:rPr>
        <w:t>Vivek S</w:t>
      </w:r>
      <w:r w:rsidRPr="00316EB4">
        <w:rPr>
          <w:rFonts w:cs="Arial"/>
          <w:bCs/>
        </w:rPr>
        <w:t xml:space="preserve">, </w:t>
      </w:r>
      <w:proofErr w:type="spellStart"/>
      <w:r w:rsidRPr="00316EB4">
        <w:rPr>
          <w:rFonts w:cs="Arial"/>
          <w:bCs/>
        </w:rPr>
        <w:t>Blaes</w:t>
      </w:r>
      <w:proofErr w:type="spellEnd"/>
      <w:r w:rsidRPr="00316EB4">
        <w:rPr>
          <w:rFonts w:cs="Arial"/>
          <w:bCs/>
        </w:rPr>
        <w:t xml:space="preserve"> AH, Nelson HH, </w:t>
      </w:r>
      <w:proofErr w:type="spellStart"/>
      <w:r w:rsidRPr="00316EB4">
        <w:rPr>
          <w:rFonts w:cs="Arial"/>
          <w:bCs/>
        </w:rPr>
        <w:t>Thyagarajan</w:t>
      </w:r>
      <w:proofErr w:type="spellEnd"/>
      <w:r w:rsidRPr="00316EB4">
        <w:rPr>
          <w:rFonts w:cs="Arial"/>
          <w:bCs/>
        </w:rPr>
        <w:t xml:space="preserve"> B. Aging measures and cancer: Findings from the Health and Retirement Study. </w:t>
      </w:r>
      <w:proofErr w:type="spellStart"/>
      <w:proofErr w:type="gramStart"/>
      <w:r w:rsidRPr="00316EB4">
        <w:rPr>
          <w:rFonts w:cs="Arial"/>
          <w:bCs/>
        </w:rPr>
        <w:t>medRxiv</w:t>
      </w:r>
      <w:proofErr w:type="spellEnd"/>
      <w:proofErr w:type="gramEnd"/>
      <w:r w:rsidRPr="00316EB4">
        <w:rPr>
          <w:rFonts w:cs="Arial"/>
          <w:bCs/>
        </w:rPr>
        <w:t xml:space="preserve"> [Preprint]. 2023 Sep 23:2023.09.20.23295845. </w:t>
      </w:r>
      <w:proofErr w:type="spellStart"/>
      <w:proofErr w:type="gramStart"/>
      <w:r w:rsidRPr="00316EB4">
        <w:rPr>
          <w:rFonts w:cs="Arial"/>
          <w:bCs/>
        </w:rPr>
        <w:t>doi</w:t>
      </w:r>
      <w:proofErr w:type="spellEnd"/>
      <w:proofErr w:type="gramEnd"/>
      <w:r w:rsidRPr="00316EB4">
        <w:rPr>
          <w:rFonts w:cs="Arial"/>
          <w:bCs/>
        </w:rPr>
        <w:t>: 10.1101/2023.09.20.23295845. PMID: 37790462; PMCID: PMC10543046.</w:t>
      </w:r>
    </w:p>
    <w:p w14:paraId="4F66480B" w14:textId="77777777" w:rsidR="0038591E" w:rsidRPr="0038591E" w:rsidRDefault="0038591E" w:rsidP="0038591E">
      <w:pPr>
        <w:pStyle w:val="ListParagraph"/>
        <w:numPr>
          <w:ilvl w:val="0"/>
          <w:numId w:val="34"/>
        </w:numPr>
        <w:jc w:val="both"/>
        <w:rPr>
          <w:rFonts w:cs="Arial"/>
          <w:bCs/>
        </w:rPr>
      </w:pPr>
      <w:proofErr w:type="spellStart"/>
      <w:r w:rsidRPr="0038591E">
        <w:rPr>
          <w:rFonts w:cs="Arial"/>
          <w:bCs/>
        </w:rPr>
        <w:t>Panikkar</w:t>
      </w:r>
      <w:proofErr w:type="spellEnd"/>
      <w:r w:rsidRPr="0038591E">
        <w:rPr>
          <w:rFonts w:cs="Arial"/>
          <w:bCs/>
        </w:rPr>
        <w:t xml:space="preserve">, D., </w:t>
      </w:r>
      <w:r w:rsidRPr="0038591E">
        <w:rPr>
          <w:rFonts w:cs="Arial"/>
          <w:b/>
          <w:bCs/>
        </w:rPr>
        <w:t>Vivek, S.</w:t>
      </w:r>
      <w:r w:rsidRPr="0038591E">
        <w:rPr>
          <w:rFonts w:cs="Arial"/>
          <w:bCs/>
        </w:rPr>
        <w:t xml:space="preserve">, </w:t>
      </w:r>
      <w:proofErr w:type="spellStart"/>
      <w:r w:rsidRPr="0038591E">
        <w:rPr>
          <w:rFonts w:cs="Arial"/>
          <w:bCs/>
        </w:rPr>
        <w:t>Crimmins</w:t>
      </w:r>
      <w:proofErr w:type="spellEnd"/>
      <w:r w:rsidRPr="0038591E">
        <w:rPr>
          <w:rFonts w:cs="Arial"/>
          <w:bCs/>
        </w:rPr>
        <w:t xml:space="preserve">, E., </w:t>
      </w:r>
      <w:proofErr w:type="spellStart"/>
      <w:r w:rsidRPr="0038591E">
        <w:rPr>
          <w:rFonts w:cs="Arial"/>
          <w:bCs/>
        </w:rPr>
        <w:t>Faul</w:t>
      </w:r>
      <w:proofErr w:type="spellEnd"/>
      <w:r w:rsidRPr="0038591E">
        <w:rPr>
          <w:rFonts w:cs="Arial"/>
          <w:bCs/>
        </w:rPr>
        <w:t xml:space="preserve">, J., </w:t>
      </w:r>
      <w:proofErr w:type="spellStart"/>
      <w:r w:rsidRPr="0038591E">
        <w:rPr>
          <w:rFonts w:cs="Arial"/>
          <w:bCs/>
        </w:rPr>
        <w:t>Langa</w:t>
      </w:r>
      <w:proofErr w:type="spellEnd"/>
      <w:r w:rsidRPr="0038591E">
        <w:rPr>
          <w:rFonts w:cs="Arial"/>
          <w:bCs/>
        </w:rPr>
        <w:t xml:space="preserve">, K. M., &amp; </w:t>
      </w:r>
      <w:proofErr w:type="spellStart"/>
      <w:r w:rsidRPr="0038591E">
        <w:rPr>
          <w:rFonts w:cs="Arial"/>
          <w:bCs/>
        </w:rPr>
        <w:t>Thyagarajan</w:t>
      </w:r>
      <w:proofErr w:type="spellEnd"/>
      <w:r w:rsidRPr="0038591E">
        <w:rPr>
          <w:rFonts w:cs="Arial"/>
          <w:bCs/>
        </w:rPr>
        <w:t xml:space="preserve">, B. (2023). Pre-Analytical Variables Influencing Stability of Blood-Based Biomarkers of Neuropathology. J </w:t>
      </w:r>
      <w:proofErr w:type="spellStart"/>
      <w:r w:rsidRPr="0038591E">
        <w:rPr>
          <w:rFonts w:cs="Arial"/>
          <w:bCs/>
        </w:rPr>
        <w:t>Alzheimers</w:t>
      </w:r>
      <w:proofErr w:type="spellEnd"/>
      <w:r w:rsidRPr="0038591E">
        <w:rPr>
          <w:rFonts w:cs="Arial"/>
          <w:bCs/>
        </w:rPr>
        <w:t xml:space="preserve"> Dis. doi:10.3233/jad-230384</w:t>
      </w:r>
    </w:p>
    <w:p w14:paraId="4021C22E" w14:textId="380E847C" w:rsidR="00997F94" w:rsidRPr="0038591E" w:rsidRDefault="0038591E" w:rsidP="0038591E">
      <w:pPr>
        <w:pStyle w:val="ListParagraph"/>
        <w:numPr>
          <w:ilvl w:val="0"/>
          <w:numId w:val="34"/>
        </w:numPr>
        <w:jc w:val="both"/>
        <w:rPr>
          <w:rFonts w:cs="Arial"/>
          <w:bCs/>
        </w:rPr>
      </w:pPr>
      <w:r w:rsidRPr="0038591E">
        <w:rPr>
          <w:rFonts w:cs="Arial"/>
          <w:b/>
          <w:bCs/>
        </w:rPr>
        <w:t>Vivek, S.</w:t>
      </w:r>
      <w:r w:rsidRPr="0038591E">
        <w:rPr>
          <w:rFonts w:cs="Arial"/>
          <w:bCs/>
        </w:rPr>
        <w:t xml:space="preserve">, </w:t>
      </w:r>
      <w:proofErr w:type="spellStart"/>
      <w:r w:rsidRPr="0038591E">
        <w:rPr>
          <w:rFonts w:cs="Arial"/>
          <w:bCs/>
        </w:rPr>
        <w:t>Crimmins</w:t>
      </w:r>
      <w:proofErr w:type="spellEnd"/>
      <w:r w:rsidRPr="0038591E">
        <w:rPr>
          <w:rFonts w:cs="Arial"/>
          <w:bCs/>
        </w:rPr>
        <w:t xml:space="preserve">, E. M., </w:t>
      </w:r>
      <w:proofErr w:type="spellStart"/>
      <w:r w:rsidRPr="0038591E">
        <w:rPr>
          <w:rFonts w:cs="Arial"/>
          <w:bCs/>
        </w:rPr>
        <w:t>Prizment</w:t>
      </w:r>
      <w:proofErr w:type="spellEnd"/>
      <w:r w:rsidRPr="0038591E">
        <w:rPr>
          <w:rFonts w:cs="Arial"/>
          <w:bCs/>
        </w:rPr>
        <w:t xml:space="preserve">, A. E., Meier, H. C. S., </w:t>
      </w:r>
      <w:proofErr w:type="spellStart"/>
      <w:r w:rsidRPr="0038591E">
        <w:rPr>
          <w:rFonts w:cs="Arial"/>
          <w:bCs/>
        </w:rPr>
        <w:t>Ramasubramanian</w:t>
      </w:r>
      <w:proofErr w:type="spellEnd"/>
      <w:r w:rsidRPr="0038591E">
        <w:rPr>
          <w:rFonts w:cs="Arial"/>
          <w:bCs/>
        </w:rPr>
        <w:t xml:space="preserve">, R., </w:t>
      </w:r>
      <w:proofErr w:type="spellStart"/>
      <w:r w:rsidRPr="0038591E">
        <w:rPr>
          <w:rFonts w:cs="Arial"/>
          <w:bCs/>
        </w:rPr>
        <w:t>Barcelo</w:t>
      </w:r>
      <w:proofErr w:type="spellEnd"/>
      <w:r w:rsidRPr="0038591E">
        <w:rPr>
          <w:rFonts w:cs="Arial"/>
          <w:bCs/>
        </w:rPr>
        <w:t xml:space="preserve">, H., . . . </w:t>
      </w:r>
      <w:proofErr w:type="spellStart"/>
      <w:r w:rsidRPr="0038591E">
        <w:rPr>
          <w:rFonts w:cs="Arial"/>
          <w:bCs/>
        </w:rPr>
        <w:t>Thyagarajan</w:t>
      </w:r>
      <w:proofErr w:type="spellEnd"/>
      <w:r w:rsidRPr="0038591E">
        <w:rPr>
          <w:rFonts w:cs="Arial"/>
          <w:bCs/>
        </w:rPr>
        <w:t>, B. (2023). Age-related Differences in T-cell Subsets and Markers of Subclinical Inflammation in Agin</w:t>
      </w:r>
      <w:r>
        <w:rPr>
          <w:rFonts w:cs="Arial"/>
          <w:bCs/>
        </w:rPr>
        <w:t>g Are Independently Associated w</w:t>
      </w:r>
      <w:r w:rsidRPr="0038591E">
        <w:rPr>
          <w:rFonts w:cs="Arial"/>
          <w:bCs/>
        </w:rPr>
        <w:t xml:space="preserve">ith Type 2 Diabetes in the Health and Retirement Study. Canadian Journal of Diabetes. </w:t>
      </w:r>
      <w:proofErr w:type="spellStart"/>
      <w:r w:rsidRPr="0038591E">
        <w:rPr>
          <w:rFonts w:cs="Arial"/>
          <w:bCs/>
        </w:rPr>
        <w:t>doi:https</w:t>
      </w:r>
      <w:proofErr w:type="spellEnd"/>
      <w:r w:rsidRPr="0038591E">
        <w:rPr>
          <w:rFonts w:cs="Arial"/>
          <w:bCs/>
        </w:rPr>
        <w:t>://doi.org/10.1016/j.jcjd.2023.05.01</w:t>
      </w:r>
      <w:r w:rsidR="008D685B" w:rsidRPr="004918B2">
        <w:rPr>
          <w:rFonts w:cs="Arial"/>
          <w:bCs/>
        </w:rPr>
        <w:fldChar w:fldCharType="begin"/>
      </w:r>
      <w:r w:rsidR="008D685B" w:rsidRPr="0038591E">
        <w:rPr>
          <w:rFonts w:cs="Arial"/>
          <w:bCs/>
        </w:rPr>
        <w:instrText xml:space="preserve"> ADDIN EN.REFLIST </w:instrText>
      </w:r>
      <w:r w:rsidR="008D685B" w:rsidRPr="004918B2">
        <w:rPr>
          <w:rFonts w:cs="Arial"/>
          <w:bCs/>
        </w:rPr>
        <w:fldChar w:fldCharType="separate"/>
      </w:r>
    </w:p>
    <w:p w14:paraId="37FB6F49" w14:textId="04FFFC0C" w:rsidR="008D685B" w:rsidRPr="00997F94" w:rsidRDefault="008D685B" w:rsidP="00997F94">
      <w:pPr>
        <w:pStyle w:val="ListParagraph"/>
        <w:numPr>
          <w:ilvl w:val="0"/>
          <w:numId w:val="34"/>
        </w:numPr>
        <w:spacing w:line="256" w:lineRule="auto"/>
        <w:rPr>
          <w:rFonts w:cs="Arial"/>
          <w:bCs/>
        </w:rPr>
      </w:pPr>
      <w:r w:rsidRPr="00997F94">
        <w:rPr>
          <w:rFonts w:cs="Arial"/>
          <w:b/>
          <w:bCs/>
        </w:rPr>
        <w:lastRenderedPageBreak/>
        <w:t>Vivek S</w:t>
      </w:r>
      <w:r w:rsidRPr="00997F94">
        <w:rPr>
          <w:rFonts w:cs="Arial"/>
          <w:bCs/>
        </w:rPr>
        <w:t xml:space="preserve">, Nelson HH, Prizment AE, Faul J, Crimmins EM, Thyagarajan B. Cross sectional association between cytomegalovirus seropositivity, inflammation and cognitive impairment in elderly cancer survivors. Cancer Causes &amp; Control. 2022;33(1):81-90. </w:t>
      </w:r>
    </w:p>
    <w:p w14:paraId="43E90F1F" w14:textId="1A998C2B" w:rsidR="008D685B" w:rsidRPr="00997F94" w:rsidRDefault="008D685B" w:rsidP="00997F94">
      <w:pPr>
        <w:pStyle w:val="ListParagraph"/>
        <w:numPr>
          <w:ilvl w:val="0"/>
          <w:numId w:val="34"/>
        </w:numPr>
        <w:spacing w:line="256" w:lineRule="auto"/>
        <w:rPr>
          <w:rFonts w:cs="Arial"/>
          <w:bCs/>
        </w:rPr>
      </w:pPr>
      <w:r w:rsidRPr="00997F94">
        <w:rPr>
          <w:rFonts w:cs="Arial"/>
          <w:bCs/>
        </w:rPr>
        <w:t xml:space="preserve">Ramasubramanian R, Meier HCS, </w:t>
      </w:r>
      <w:r w:rsidRPr="00997F94">
        <w:rPr>
          <w:rFonts w:cs="Arial"/>
          <w:b/>
          <w:bCs/>
        </w:rPr>
        <w:t>Vivek S</w:t>
      </w:r>
      <w:r w:rsidRPr="00997F94">
        <w:rPr>
          <w:rFonts w:cs="Arial"/>
          <w:bCs/>
        </w:rPr>
        <w:t>, et al. Evaluation of T-cell aging-related immune phenotypes in the context of biological aging and multimorbidity in the Health and Retirement Study. Immunity &amp; Ageing. 2022/07/20 2022;19(1):33. doi:10.1186/s12979-022-00290-z</w:t>
      </w:r>
    </w:p>
    <w:p w14:paraId="5EF5FCAA" w14:textId="172927AC" w:rsidR="008D685B" w:rsidRPr="00997F94" w:rsidRDefault="008D685B" w:rsidP="00997F94">
      <w:pPr>
        <w:pStyle w:val="ListParagraph"/>
        <w:numPr>
          <w:ilvl w:val="0"/>
          <w:numId w:val="34"/>
        </w:numPr>
        <w:spacing w:line="256" w:lineRule="auto"/>
        <w:rPr>
          <w:rFonts w:cs="Arial"/>
          <w:bCs/>
        </w:rPr>
      </w:pPr>
      <w:r w:rsidRPr="00997F94">
        <w:rPr>
          <w:rFonts w:cs="Arial"/>
          <w:bCs/>
        </w:rPr>
        <w:t xml:space="preserve">Thyagarajan B, Faul J, </w:t>
      </w:r>
      <w:r w:rsidRPr="00997F94">
        <w:rPr>
          <w:rFonts w:cs="Arial"/>
          <w:b/>
          <w:bCs/>
        </w:rPr>
        <w:t>Vivek S</w:t>
      </w:r>
      <w:r w:rsidRPr="00997F94">
        <w:rPr>
          <w:rFonts w:cs="Arial"/>
          <w:bCs/>
        </w:rPr>
        <w:t>, et al. Age-related differences in T cell subsets in a nationally representative sample of people over age 55: Findings from the Health and Retirement Study. The journals of gerontology Series A, Biological sciences and medical sciences. Oct 11 2021;doi:10.1093/gerona/glab300</w:t>
      </w:r>
    </w:p>
    <w:p w14:paraId="1DEAEEE2" w14:textId="60DF837F" w:rsidR="008D685B" w:rsidRPr="00997F94" w:rsidRDefault="008D685B" w:rsidP="00997F94">
      <w:pPr>
        <w:pStyle w:val="ListParagraph"/>
        <w:numPr>
          <w:ilvl w:val="0"/>
          <w:numId w:val="34"/>
        </w:numPr>
        <w:spacing w:line="256" w:lineRule="auto"/>
        <w:rPr>
          <w:rFonts w:cs="Arial"/>
          <w:bCs/>
        </w:rPr>
      </w:pPr>
      <w:r w:rsidRPr="00997F94">
        <w:rPr>
          <w:rFonts w:cs="Arial"/>
          <w:b/>
          <w:bCs/>
        </w:rPr>
        <w:t>Vivek S</w:t>
      </w:r>
      <w:r w:rsidRPr="00997F94">
        <w:rPr>
          <w:rFonts w:cs="Arial"/>
          <w:bCs/>
        </w:rPr>
        <w:t xml:space="preserve">, Carnethon MR, Prizment A, et al. Association of the extent of return to fasting state 2-hours after a glucose challenge with incident prediabetes and type 2 diabetes: The CARDIA study. Diabetes Research and Clinical Practice. 2021;180:109004. </w:t>
      </w:r>
    </w:p>
    <w:p w14:paraId="58DB27DF" w14:textId="55EB0AF2" w:rsidR="008D685B" w:rsidRPr="00997F94" w:rsidRDefault="008D685B" w:rsidP="00997F94">
      <w:pPr>
        <w:pStyle w:val="ListParagraph"/>
        <w:numPr>
          <w:ilvl w:val="0"/>
          <w:numId w:val="34"/>
        </w:numPr>
        <w:spacing w:line="256" w:lineRule="auto"/>
        <w:rPr>
          <w:rFonts w:cs="Arial"/>
          <w:bCs/>
        </w:rPr>
      </w:pPr>
      <w:r w:rsidRPr="00997F94">
        <w:rPr>
          <w:rFonts w:cs="Arial"/>
          <w:bCs/>
        </w:rPr>
        <w:t>Prizment AE, Staley C, Onyeaghala GC,</w:t>
      </w:r>
      <w:r w:rsidRPr="00997F94">
        <w:rPr>
          <w:rFonts w:cs="Arial"/>
          <w:b/>
          <w:bCs/>
        </w:rPr>
        <w:t xml:space="preserve"> Vivek S</w:t>
      </w:r>
      <w:r w:rsidRPr="00997F94">
        <w:rPr>
          <w:rFonts w:cs="Arial"/>
          <w:bCs/>
        </w:rPr>
        <w:t xml:space="preserve">, Thyagarajan B, Straka RJ, Demmer RT, Knights D, Meyer KA, Shaukat A, Sadowsky MJ, Church TR. Randomised clinical study: oral aspirin 325 mg daily vs placebo alters gut microbial composition and bacterial taxa associated with colorectal cancer risk. Alimentary pharmacology &amp; therapeutics. 2020;52(6):976-987. </w:t>
      </w:r>
    </w:p>
    <w:p w14:paraId="6A9572B2" w14:textId="244A5178" w:rsidR="008D685B" w:rsidRPr="00997F94" w:rsidRDefault="008D685B" w:rsidP="00997F94">
      <w:pPr>
        <w:pStyle w:val="ListParagraph"/>
        <w:numPr>
          <w:ilvl w:val="0"/>
          <w:numId w:val="34"/>
        </w:numPr>
        <w:spacing w:line="256" w:lineRule="auto"/>
        <w:rPr>
          <w:rFonts w:cs="Arial"/>
          <w:bCs/>
        </w:rPr>
      </w:pPr>
      <w:r w:rsidRPr="00997F94">
        <w:rPr>
          <w:rFonts w:cs="Arial"/>
          <w:bCs/>
        </w:rPr>
        <w:t xml:space="preserve">Thyagarajan B, Shippee N, Parsons H, </w:t>
      </w:r>
      <w:r w:rsidRPr="00997F94">
        <w:rPr>
          <w:rFonts w:cs="Arial"/>
          <w:b/>
          <w:bCs/>
        </w:rPr>
        <w:t>Vivek S</w:t>
      </w:r>
      <w:r w:rsidRPr="00997F94">
        <w:rPr>
          <w:rFonts w:cs="Arial"/>
          <w:bCs/>
        </w:rPr>
        <w:t xml:space="preserve">, Crimmins E, Faul J, Shippee T. How does subjective age get “under the skin”? The association between biomarkers and feeling older or younger than one’s age: The Health and Retirement Study. Innovation in aging. 2019;3(4):igz035. </w:t>
      </w:r>
    </w:p>
    <w:p w14:paraId="025E0AF5" w14:textId="6A88E4F4" w:rsidR="008D685B" w:rsidRPr="00997F94" w:rsidRDefault="008D685B" w:rsidP="00997F94">
      <w:pPr>
        <w:pStyle w:val="ListParagraph"/>
        <w:numPr>
          <w:ilvl w:val="0"/>
          <w:numId w:val="34"/>
        </w:numPr>
        <w:spacing w:line="256" w:lineRule="auto"/>
        <w:rPr>
          <w:rFonts w:cs="Arial"/>
          <w:bCs/>
        </w:rPr>
      </w:pPr>
      <w:r w:rsidRPr="00997F94">
        <w:rPr>
          <w:rFonts w:cs="Arial"/>
          <w:bCs/>
        </w:rPr>
        <w:t xml:space="preserve">Thyagarajan B, Barcelo H, Crimmins E, Weir D, Minnerath S, </w:t>
      </w:r>
      <w:r w:rsidRPr="00997F94">
        <w:rPr>
          <w:rFonts w:cs="Arial"/>
          <w:b/>
          <w:bCs/>
        </w:rPr>
        <w:t>Vivek S</w:t>
      </w:r>
      <w:r w:rsidRPr="00997F94">
        <w:rPr>
          <w:rFonts w:cs="Arial"/>
          <w:bCs/>
        </w:rPr>
        <w:t>, Faul J. Effect of delayed cell processing and cryopreservation on immunophenotyping in multicenter population studies. J Immunol Methods. 2018;463:61-70. doi:10.1016/j.jim.2018.09.007</w:t>
      </w:r>
    </w:p>
    <w:p w14:paraId="6CD708E1" w14:textId="633A7E88" w:rsidR="008D685B" w:rsidRPr="00997F94" w:rsidRDefault="008D685B" w:rsidP="00997F94">
      <w:pPr>
        <w:pStyle w:val="ListParagraph"/>
        <w:numPr>
          <w:ilvl w:val="0"/>
          <w:numId w:val="34"/>
        </w:numPr>
        <w:spacing w:line="256" w:lineRule="auto"/>
        <w:rPr>
          <w:rFonts w:cs="Arial"/>
          <w:bCs/>
        </w:rPr>
      </w:pPr>
      <w:r w:rsidRPr="00997F94">
        <w:rPr>
          <w:rFonts w:cs="Arial"/>
          <w:bCs/>
        </w:rPr>
        <w:t xml:space="preserve">Romee R, Cooley S, Berrien-Elliott MM, Westervelt P, Verneris MR, Wagner JE, Weisdorf DJ, Blazar BR, Ustun C, DeFor TE, </w:t>
      </w:r>
      <w:r w:rsidRPr="00997F94">
        <w:rPr>
          <w:rFonts w:cs="Arial"/>
          <w:b/>
          <w:bCs/>
        </w:rPr>
        <w:t>Vivek S</w:t>
      </w:r>
      <w:r w:rsidRPr="00997F94">
        <w:rPr>
          <w:rFonts w:cs="Arial"/>
          <w:bCs/>
        </w:rPr>
        <w:t>, Peck L, DiPersio JF, Cashen AF, Kyllo R, Musiek A, Schaffer A, Anadkat MJ, Rosman I, Miller D, Egan JO, Jeng EK, Rock A, Wong HC, Fehniger TA, Miller JS. First-in-human phase 1 clinical study of the IL-15 superagonist complex ALT-803 to treat relapse after transplantation. Blood. Jun 7 2018;131(23):2515-2527. doi:10.1182/blood-2017-12-823757</w:t>
      </w:r>
    </w:p>
    <w:p w14:paraId="107CA292" w14:textId="1163D7E8" w:rsidR="008D685B" w:rsidRPr="00997F94" w:rsidRDefault="008D685B" w:rsidP="00997F94">
      <w:pPr>
        <w:pStyle w:val="ListParagraph"/>
        <w:numPr>
          <w:ilvl w:val="0"/>
          <w:numId w:val="34"/>
        </w:numPr>
        <w:spacing w:line="256" w:lineRule="auto"/>
        <w:rPr>
          <w:rFonts w:cs="Arial"/>
          <w:bCs/>
        </w:rPr>
      </w:pPr>
      <w:r w:rsidRPr="00997F94">
        <w:rPr>
          <w:rFonts w:cs="Arial"/>
          <w:bCs/>
        </w:rPr>
        <w:t>Jha GG, Gupta S, Tagawa ST, Koopmeiners JS,</w:t>
      </w:r>
      <w:r w:rsidRPr="00997F94">
        <w:rPr>
          <w:rFonts w:cs="Arial"/>
          <w:b/>
          <w:bCs/>
        </w:rPr>
        <w:t xml:space="preserve"> Vivek S</w:t>
      </w:r>
      <w:r w:rsidRPr="00997F94">
        <w:rPr>
          <w:rFonts w:cs="Arial"/>
          <w:bCs/>
        </w:rPr>
        <w:t>, Dudek AZ, Cooley SA, Blazar BR, Miller JS. A phase II randomized, double-blind study of sipuleucel-T followed by IDO pathway inhibitor, indoximod, or placebo in the treatment of patients with metastatic castration resistant prostate cancer (mCRPC). American Society of Clinical Oncology; 2017.</w:t>
      </w:r>
    </w:p>
    <w:p w14:paraId="187564C7" w14:textId="3099E031" w:rsidR="008D685B" w:rsidRPr="00997F94" w:rsidRDefault="008D685B" w:rsidP="00997F94">
      <w:pPr>
        <w:pStyle w:val="ListParagraph"/>
        <w:numPr>
          <w:ilvl w:val="0"/>
          <w:numId w:val="34"/>
        </w:numPr>
        <w:spacing w:line="256" w:lineRule="auto"/>
        <w:rPr>
          <w:rFonts w:cs="Arial"/>
          <w:bCs/>
        </w:rPr>
      </w:pPr>
      <w:r w:rsidRPr="00997F94">
        <w:rPr>
          <w:rFonts w:cs="Arial"/>
          <w:bCs/>
        </w:rPr>
        <w:t xml:space="preserve">Ferzoco RM, Hallberg EJ, </w:t>
      </w:r>
      <w:r w:rsidRPr="00997F94">
        <w:rPr>
          <w:rFonts w:cs="Arial"/>
          <w:b/>
          <w:bCs/>
        </w:rPr>
        <w:t>Vivek S</w:t>
      </w:r>
      <w:r w:rsidRPr="00997F94">
        <w:rPr>
          <w:rFonts w:cs="Arial"/>
          <w:bCs/>
        </w:rPr>
        <w:t>, et al. Real-world self-reported adherence to endocrine therapy in a large longitudinal cohort of breast cancer patients. American Society of Clinical Oncology; 2015.</w:t>
      </w:r>
    </w:p>
    <w:p w14:paraId="6AA7E06F" w14:textId="1BCB834D" w:rsidR="008D685B" w:rsidRPr="00997F94" w:rsidRDefault="008D685B" w:rsidP="00997F94">
      <w:pPr>
        <w:pStyle w:val="ListParagraph"/>
        <w:numPr>
          <w:ilvl w:val="0"/>
          <w:numId w:val="34"/>
        </w:numPr>
        <w:spacing w:line="256" w:lineRule="auto"/>
        <w:rPr>
          <w:rFonts w:cs="Arial"/>
          <w:bCs/>
        </w:rPr>
      </w:pPr>
      <w:r w:rsidRPr="00997F94">
        <w:rPr>
          <w:rFonts w:cs="Arial"/>
          <w:bCs/>
        </w:rPr>
        <w:t xml:space="preserve">Abishek Sasidharan VV, </w:t>
      </w:r>
      <w:r w:rsidRPr="00997F94">
        <w:rPr>
          <w:rFonts w:cs="Arial"/>
          <w:b/>
          <w:bCs/>
        </w:rPr>
        <w:t>Sithara Pillai</w:t>
      </w:r>
      <w:r w:rsidRPr="00997F94">
        <w:rPr>
          <w:rFonts w:cs="Arial"/>
          <w:bCs/>
        </w:rPr>
        <w:t>, Fayaz Khan. Correlation between obesity and balance in school children. International Journal of Therapy and Rehabilitation. 2014;</w:t>
      </w:r>
    </w:p>
    <w:p w14:paraId="1695BFF0" w14:textId="6E893464" w:rsidR="002C51BC" w:rsidRPr="00482FD3" w:rsidRDefault="008D685B" w:rsidP="00482FD3">
      <w:pPr>
        <w:pStyle w:val="DataField11pt-Single"/>
        <w:rPr>
          <w:b/>
          <w:bCs/>
        </w:rPr>
      </w:pPr>
      <w:r w:rsidRPr="004918B2">
        <w:fldChar w:fldCharType="end"/>
      </w:r>
    </w:p>
    <w:sectPr w:rsidR="002C51BC" w:rsidRPr="00482FD3" w:rsidSect="00DF7645">
      <w:headerReference w:type="default" r:id="rId11"/>
      <w:type w:val="continuous"/>
      <w:pgSz w:w="12240" w:h="15840" w:code="1"/>
      <w:pgMar w:top="720" w:right="720" w:bottom="720" w:left="720" w:header="0" w:footer="0" w:gutter="0"/>
      <w:cols w:space="720"/>
      <w:formProt w:val="0"/>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05D5615C" w16cex:dateUtc="2023-09-18T17: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E552096" w16cid:durableId="05D5615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B04E0E" w14:textId="77777777" w:rsidR="00A33C59" w:rsidRDefault="00A33C59">
      <w:r>
        <w:separator/>
      </w:r>
    </w:p>
  </w:endnote>
  <w:endnote w:type="continuationSeparator" w:id="0">
    <w:p w14:paraId="2A37C42E" w14:textId="77777777" w:rsidR="00A33C59" w:rsidRDefault="00A33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ኀ"/>
    <w:panose1 w:val="02020603050405020304"/>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1600B9" w14:textId="77777777" w:rsidR="00A33C59" w:rsidRDefault="00A33C59">
      <w:r>
        <w:separator/>
      </w:r>
    </w:p>
  </w:footnote>
  <w:footnote w:type="continuationSeparator" w:id="0">
    <w:p w14:paraId="51683F28" w14:textId="77777777" w:rsidR="00A33C59" w:rsidRDefault="00A33C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11255" w14:textId="4BE79BB4" w:rsidR="00E127A1" w:rsidRDefault="00E127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486ED7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D009D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448867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C6EE5C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B86BCA8"/>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25B4CBE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D1761C76"/>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C1DCA67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02B2C3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C26D018"/>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15:restartNumberingAfterBreak="0">
    <w:nsid w:val="00DE6AC5"/>
    <w:multiLevelType w:val="hybridMultilevel"/>
    <w:tmpl w:val="CC88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6F92214"/>
    <w:multiLevelType w:val="hybridMultilevel"/>
    <w:tmpl w:val="374A83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C4014FC"/>
    <w:multiLevelType w:val="hybridMultilevel"/>
    <w:tmpl w:val="55DC69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2F32675"/>
    <w:multiLevelType w:val="hybridMultilevel"/>
    <w:tmpl w:val="300489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5" w15:restartNumberingAfterBreak="0">
    <w:nsid w:val="172E02D4"/>
    <w:multiLevelType w:val="hybridMultilevel"/>
    <w:tmpl w:val="67E64840"/>
    <w:lvl w:ilvl="0" w:tplc="1AAED8D0">
      <w:start w:val="1"/>
      <w:numFmt w:val="lowerLetter"/>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755543"/>
    <w:multiLevelType w:val="multilevel"/>
    <w:tmpl w:val="6A92C90E"/>
    <w:lvl w:ilvl="0">
      <w:start w:val="1"/>
      <w:numFmt w:val="lowerLetter"/>
      <w:lvlText w:val="%1)"/>
      <w:lvlJc w:val="left"/>
      <w:pPr>
        <w:ind w:left="1080" w:hanging="360"/>
      </w:pPr>
    </w:lvl>
    <w:lvl w:ilvl="1">
      <w:start w:val="1"/>
      <w:numFmt w:val="lowerLetter"/>
      <w:lvlText w:val="%2."/>
      <w:legacy w:legacy="1" w:legacySpace="120" w:legacyIndent="360"/>
      <w:lvlJc w:val="left"/>
      <w:pPr>
        <w:ind w:left="1440" w:hanging="360"/>
      </w:pPr>
    </w:lvl>
    <w:lvl w:ilvl="2">
      <w:start w:val="1"/>
      <w:numFmt w:val="lowerRoman"/>
      <w:lvlText w:val="%3."/>
      <w:legacy w:legacy="1" w:legacySpace="120" w:legacyIndent="180"/>
      <w:lvlJc w:val="left"/>
      <w:pPr>
        <w:ind w:left="1620" w:hanging="180"/>
      </w:pPr>
    </w:lvl>
    <w:lvl w:ilvl="3">
      <w:start w:val="1"/>
      <w:numFmt w:val="decimal"/>
      <w:lvlText w:val="%4."/>
      <w:legacy w:legacy="1" w:legacySpace="120" w:legacyIndent="360"/>
      <w:lvlJc w:val="left"/>
      <w:pPr>
        <w:ind w:left="1980" w:hanging="360"/>
      </w:pPr>
    </w:lvl>
    <w:lvl w:ilvl="4">
      <w:start w:val="1"/>
      <w:numFmt w:val="lowerLetter"/>
      <w:lvlText w:val="%5."/>
      <w:legacy w:legacy="1" w:legacySpace="120" w:legacyIndent="360"/>
      <w:lvlJc w:val="left"/>
      <w:pPr>
        <w:ind w:left="2340" w:hanging="360"/>
      </w:pPr>
    </w:lvl>
    <w:lvl w:ilvl="5">
      <w:start w:val="1"/>
      <w:numFmt w:val="lowerRoman"/>
      <w:lvlText w:val="%6."/>
      <w:legacy w:legacy="1" w:legacySpace="120" w:legacyIndent="180"/>
      <w:lvlJc w:val="left"/>
      <w:pPr>
        <w:ind w:left="2520" w:hanging="180"/>
      </w:pPr>
    </w:lvl>
    <w:lvl w:ilvl="6">
      <w:start w:val="1"/>
      <w:numFmt w:val="decimal"/>
      <w:lvlText w:val="%7."/>
      <w:legacy w:legacy="1" w:legacySpace="120" w:legacyIndent="360"/>
      <w:lvlJc w:val="left"/>
      <w:pPr>
        <w:ind w:left="2880" w:hanging="360"/>
      </w:pPr>
    </w:lvl>
    <w:lvl w:ilvl="7">
      <w:start w:val="1"/>
      <w:numFmt w:val="lowerLetter"/>
      <w:lvlText w:val="%8."/>
      <w:legacy w:legacy="1" w:legacySpace="120" w:legacyIndent="360"/>
      <w:lvlJc w:val="left"/>
      <w:pPr>
        <w:ind w:left="3240" w:hanging="360"/>
      </w:pPr>
    </w:lvl>
    <w:lvl w:ilvl="8">
      <w:start w:val="1"/>
      <w:numFmt w:val="lowerRoman"/>
      <w:lvlText w:val="%9."/>
      <w:legacy w:legacy="1" w:legacySpace="120" w:legacyIndent="180"/>
      <w:lvlJc w:val="left"/>
      <w:pPr>
        <w:ind w:left="3420" w:hanging="180"/>
      </w:pPr>
    </w:lvl>
  </w:abstractNum>
  <w:abstractNum w:abstractNumId="17" w15:restartNumberingAfterBreak="0">
    <w:nsid w:val="25C24400"/>
    <w:multiLevelType w:val="hybridMultilevel"/>
    <w:tmpl w:val="F2960340"/>
    <w:lvl w:ilvl="0" w:tplc="F97A6DD0">
      <w:start w:val="3"/>
      <w:numFmt w:val="decimal"/>
      <w:lvlText w:val="%1."/>
      <w:lvlJc w:val="left"/>
      <w:pPr>
        <w:ind w:left="720" w:hanging="36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441585"/>
    <w:multiLevelType w:val="hybridMultilevel"/>
    <w:tmpl w:val="10B8AE12"/>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1B11E7C"/>
    <w:multiLevelType w:val="hybridMultilevel"/>
    <w:tmpl w:val="9828D8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2B330CB"/>
    <w:multiLevelType w:val="hybridMultilevel"/>
    <w:tmpl w:val="4F886A22"/>
    <w:lvl w:ilvl="0" w:tplc="826E22D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763E84"/>
    <w:multiLevelType w:val="hybridMultilevel"/>
    <w:tmpl w:val="C9CA0764"/>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6E46C26"/>
    <w:multiLevelType w:val="multilevel"/>
    <w:tmpl w:val="AC0CC3FC"/>
    <w:lvl w:ilvl="0">
      <w:start w:val="1"/>
      <w:numFmt w:val="decimal"/>
      <w:lvlText w:val="%1."/>
      <w:lvlJc w:val="left"/>
      <w:pPr>
        <w:ind w:left="720" w:hanging="360"/>
      </w:pPr>
      <w:rPr>
        <w:rFonts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3" w15:restartNumberingAfterBreak="0">
    <w:nsid w:val="48F46FDC"/>
    <w:multiLevelType w:val="hybridMultilevel"/>
    <w:tmpl w:val="0A4E910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5B0244"/>
    <w:multiLevelType w:val="hybridMultilevel"/>
    <w:tmpl w:val="B03A57E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6" w15:restartNumberingAfterBreak="0">
    <w:nsid w:val="5C32301E"/>
    <w:multiLevelType w:val="hybridMultilevel"/>
    <w:tmpl w:val="853269CA"/>
    <w:lvl w:ilvl="0" w:tplc="E1947874">
      <w:start w:val="1"/>
      <w:numFmt w:val="lowerLetter"/>
      <w:lvlText w:val="%1)"/>
      <w:lvlJc w:val="left"/>
      <w:pPr>
        <w:ind w:left="1080" w:hanging="360"/>
      </w:pPr>
      <w:rPr>
        <w:rFonts w:ascii="Arial" w:eastAsia="Times New Roman" w:hAnsi="Arial" w:cs="Arial"/>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90B26DA"/>
    <w:multiLevelType w:val="hybridMultilevel"/>
    <w:tmpl w:val="EA30E03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8" w15:restartNumberingAfterBreak="0">
    <w:nsid w:val="6ACC5936"/>
    <w:multiLevelType w:val="hybridMultilevel"/>
    <w:tmpl w:val="6060B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09135F"/>
    <w:multiLevelType w:val="hybridMultilevel"/>
    <w:tmpl w:val="C39A8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867D5D"/>
    <w:multiLevelType w:val="hybridMultilevel"/>
    <w:tmpl w:val="C24C59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32" w15:restartNumberingAfterBreak="0">
    <w:nsid w:val="76114676"/>
    <w:multiLevelType w:val="hybridMultilevel"/>
    <w:tmpl w:val="57C6E176"/>
    <w:lvl w:ilvl="0" w:tplc="3208B5B4">
      <w:start w:val="1"/>
      <w:numFmt w:val="decimal"/>
      <w:lvlText w:val="%1."/>
      <w:lvlJc w:val="left"/>
      <w:pPr>
        <w:ind w:left="720" w:hanging="720"/>
      </w:pPr>
      <w:rPr>
        <w:rFonts w:ascii="Arial" w:eastAsia="Times New Roman" w:hAnsi="Arial" w:cs="Arial"/>
        <w:b/>
        <w:i w:val="0"/>
        <w:iCs/>
        <w:sz w:val="22"/>
        <w:szCs w:val="22"/>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0"/>
  </w:num>
  <w:num w:numId="12">
    <w:abstractNumId w:val="25"/>
  </w:num>
  <w:num w:numId="13">
    <w:abstractNumId w:val="14"/>
  </w:num>
  <w:num w:numId="14">
    <w:abstractNumId w:val="31"/>
  </w:num>
  <w:num w:numId="15">
    <w:abstractNumId w:val="29"/>
  </w:num>
  <w:num w:numId="16">
    <w:abstractNumId w:val="30"/>
  </w:num>
  <w:num w:numId="17">
    <w:abstractNumId w:val="10"/>
  </w:num>
  <w:num w:numId="18">
    <w:abstractNumId w:val="19"/>
  </w:num>
  <w:num w:numId="19">
    <w:abstractNumId w:val="11"/>
  </w:num>
  <w:num w:numId="20">
    <w:abstractNumId w:val="13"/>
  </w:num>
  <w:num w:numId="21">
    <w:abstractNumId w:val="21"/>
  </w:num>
  <w:num w:numId="22">
    <w:abstractNumId w:val="18"/>
  </w:num>
  <w:num w:numId="23">
    <w:abstractNumId w:val="24"/>
  </w:num>
  <w:num w:numId="24">
    <w:abstractNumId w:val="22"/>
  </w:num>
  <w:num w:numId="25">
    <w:abstractNumId w:val="16"/>
  </w:num>
  <w:num w:numId="26">
    <w:abstractNumId w:val="20"/>
  </w:num>
  <w:num w:numId="27">
    <w:abstractNumId w:val="17"/>
  </w:num>
  <w:num w:numId="28">
    <w:abstractNumId w:val="15"/>
  </w:num>
  <w:num w:numId="29">
    <w:abstractNumId w:val="12"/>
  </w:num>
  <w:num w:numId="30">
    <w:abstractNumId w:val="23"/>
  </w:num>
  <w:num w:numId="31">
    <w:abstractNumId w:val="26"/>
  </w:num>
  <w:num w:numId="32">
    <w:abstractNumId w:val="32"/>
  </w:num>
  <w:num w:numId="33">
    <w:abstractNumId w:val="27"/>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360"/>
  <w:doNotHyphenateCaps/>
  <w:drawingGridHorizontalSpacing w:val="110"/>
  <w:drawingGridVerticalSpacing w:val="120"/>
  <w:displayHorizontalDrawingGridEvery w:val="0"/>
  <w:displayVerticalDrawingGridEvery w:val="3"/>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A45"/>
    <w:rsid w:val="000054FB"/>
    <w:rsid w:val="00007231"/>
    <w:rsid w:val="00023A7A"/>
    <w:rsid w:val="00067621"/>
    <w:rsid w:val="00074001"/>
    <w:rsid w:val="00084466"/>
    <w:rsid w:val="00095D58"/>
    <w:rsid w:val="00096A80"/>
    <w:rsid w:val="000A6EA9"/>
    <w:rsid w:val="000B2D78"/>
    <w:rsid w:val="000E3BEC"/>
    <w:rsid w:val="00106DA1"/>
    <w:rsid w:val="00122EB3"/>
    <w:rsid w:val="00132CA6"/>
    <w:rsid w:val="00134236"/>
    <w:rsid w:val="0014571A"/>
    <w:rsid w:val="001458B1"/>
    <w:rsid w:val="00170D87"/>
    <w:rsid w:val="00172264"/>
    <w:rsid w:val="00177D49"/>
    <w:rsid w:val="00182189"/>
    <w:rsid w:val="00183022"/>
    <w:rsid w:val="001C065C"/>
    <w:rsid w:val="001C1071"/>
    <w:rsid w:val="002212A2"/>
    <w:rsid w:val="002506F6"/>
    <w:rsid w:val="002509A8"/>
    <w:rsid w:val="0028051C"/>
    <w:rsid w:val="0029056F"/>
    <w:rsid w:val="0029120F"/>
    <w:rsid w:val="002A70D9"/>
    <w:rsid w:val="002B7443"/>
    <w:rsid w:val="002C2B53"/>
    <w:rsid w:val="002C4808"/>
    <w:rsid w:val="002C51BC"/>
    <w:rsid w:val="002D7520"/>
    <w:rsid w:val="002E2CA2"/>
    <w:rsid w:val="002E5125"/>
    <w:rsid w:val="002F469C"/>
    <w:rsid w:val="00307C9E"/>
    <w:rsid w:val="003135A0"/>
    <w:rsid w:val="00316EB4"/>
    <w:rsid w:val="00321A19"/>
    <w:rsid w:val="0035045F"/>
    <w:rsid w:val="0037667F"/>
    <w:rsid w:val="00382AB6"/>
    <w:rsid w:val="00383712"/>
    <w:rsid w:val="0038591E"/>
    <w:rsid w:val="00386E6E"/>
    <w:rsid w:val="003C2647"/>
    <w:rsid w:val="003C3CA5"/>
    <w:rsid w:val="003C62D6"/>
    <w:rsid w:val="003D2399"/>
    <w:rsid w:val="003E4A92"/>
    <w:rsid w:val="003F0F84"/>
    <w:rsid w:val="003F6A45"/>
    <w:rsid w:val="0040289D"/>
    <w:rsid w:val="00432346"/>
    <w:rsid w:val="00447F3A"/>
    <w:rsid w:val="004625A1"/>
    <w:rsid w:val="004759D9"/>
    <w:rsid w:val="00482FD3"/>
    <w:rsid w:val="0049068A"/>
    <w:rsid w:val="00491CBF"/>
    <w:rsid w:val="00493D23"/>
    <w:rsid w:val="004A3FC8"/>
    <w:rsid w:val="004C5861"/>
    <w:rsid w:val="004E08E4"/>
    <w:rsid w:val="004F6C39"/>
    <w:rsid w:val="0050216B"/>
    <w:rsid w:val="00503B57"/>
    <w:rsid w:val="005145BB"/>
    <w:rsid w:val="00517BFD"/>
    <w:rsid w:val="005201C7"/>
    <w:rsid w:val="00522698"/>
    <w:rsid w:val="0054471F"/>
    <w:rsid w:val="005461F3"/>
    <w:rsid w:val="00547118"/>
    <w:rsid w:val="00547AC9"/>
    <w:rsid w:val="00547D22"/>
    <w:rsid w:val="00564D40"/>
    <w:rsid w:val="00592740"/>
    <w:rsid w:val="005A7F6F"/>
    <w:rsid w:val="005B37B5"/>
    <w:rsid w:val="005C2BDD"/>
    <w:rsid w:val="005C2CF8"/>
    <w:rsid w:val="005C47A8"/>
    <w:rsid w:val="005D08E9"/>
    <w:rsid w:val="005E406E"/>
    <w:rsid w:val="005F0B12"/>
    <w:rsid w:val="005F5F51"/>
    <w:rsid w:val="00601C69"/>
    <w:rsid w:val="00602D0A"/>
    <w:rsid w:val="00616BCC"/>
    <w:rsid w:val="0062108A"/>
    <w:rsid w:val="00624261"/>
    <w:rsid w:val="00646AF9"/>
    <w:rsid w:val="00656AB8"/>
    <w:rsid w:val="006609B6"/>
    <w:rsid w:val="006848F7"/>
    <w:rsid w:val="0068699D"/>
    <w:rsid w:val="006A353C"/>
    <w:rsid w:val="006A56FC"/>
    <w:rsid w:val="006B2D1C"/>
    <w:rsid w:val="006C1E1F"/>
    <w:rsid w:val="006D4BB1"/>
    <w:rsid w:val="006E6FB5"/>
    <w:rsid w:val="007050F5"/>
    <w:rsid w:val="0071140F"/>
    <w:rsid w:val="00722C8F"/>
    <w:rsid w:val="0076139F"/>
    <w:rsid w:val="00763DE9"/>
    <w:rsid w:val="007752A3"/>
    <w:rsid w:val="00781234"/>
    <w:rsid w:val="007A1674"/>
    <w:rsid w:val="007B7AF3"/>
    <w:rsid w:val="007D60EE"/>
    <w:rsid w:val="007E6E1E"/>
    <w:rsid w:val="007F009F"/>
    <w:rsid w:val="008073EB"/>
    <w:rsid w:val="00812586"/>
    <w:rsid w:val="00843027"/>
    <w:rsid w:val="0085146D"/>
    <w:rsid w:val="00873917"/>
    <w:rsid w:val="00874EBC"/>
    <w:rsid w:val="0087514A"/>
    <w:rsid w:val="00890CA9"/>
    <w:rsid w:val="008D2ABC"/>
    <w:rsid w:val="008D685B"/>
    <w:rsid w:val="008E736D"/>
    <w:rsid w:val="008F64AC"/>
    <w:rsid w:val="00906DE9"/>
    <w:rsid w:val="009211D3"/>
    <w:rsid w:val="00923622"/>
    <w:rsid w:val="00933173"/>
    <w:rsid w:val="00934124"/>
    <w:rsid w:val="009357AF"/>
    <w:rsid w:val="00952A27"/>
    <w:rsid w:val="0095644F"/>
    <w:rsid w:val="00965128"/>
    <w:rsid w:val="00977FA5"/>
    <w:rsid w:val="009915CC"/>
    <w:rsid w:val="00997F94"/>
    <w:rsid w:val="009B46CB"/>
    <w:rsid w:val="009D7E97"/>
    <w:rsid w:val="009E52CA"/>
    <w:rsid w:val="009F72E5"/>
    <w:rsid w:val="00A03FFA"/>
    <w:rsid w:val="00A04942"/>
    <w:rsid w:val="00A04B52"/>
    <w:rsid w:val="00A1469B"/>
    <w:rsid w:val="00A1476C"/>
    <w:rsid w:val="00A14EF5"/>
    <w:rsid w:val="00A26D0F"/>
    <w:rsid w:val="00A33C59"/>
    <w:rsid w:val="00A42D9B"/>
    <w:rsid w:val="00A50A8B"/>
    <w:rsid w:val="00A55D1D"/>
    <w:rsid w:val="00A63D7C"/>
    <w:rsid w:val="00A712C5"/>
    <w:rsid w:val="00A7514C"/>
    <w:rsid w:val="00A80AD0"/>
    <w:rsid w:val="00A8122C"/>
    <w:rsid w:val="00A83312"/>
    <w:rsid w:val="00A90354"/>
    <w:rsid w:val="00AE41C4"/>
    <w:rsid w:val="00B13AAB"/>
    <w:rsid w:val="00B13C99"/>
    <w:rsid w:val="00B7729A"/>
    <w:rsid w:val="00C05C55"/>
    <w:rsid w:val="00C076C6"/>
    <w:rsid w:val="00C1247F"/>
    <w:rsid w:val="00C137DA"/>
    <w:rsid w:val="00C20F69"/>
    <w:rsid w:val="00C26B58"/>
    <w:rsid w:val="00C3113F"/>
    <w:rsid w:val="00C4536F"/>
    <w:rsid w:val="00C46ADA"/>
    <w:rsid w:val="00C8438D"/>
    <w:rsid w:val="00C85025"/>
    <w:rsid w:val="00C918BD"/>
    <w:rsid w:val="00C94E59"/>
    <w:rsid w:val="00C9653F"/>
    <w:rsid w:val="00CA680A"/>
    <w:rsid w:val="00CE0951"/>
    <w:rsid w:val="00CF68A2"/>
    <w:rsid w:val="00CF6FAD"/>
    <w:rsid w:val="00D03605"/>
    <w:rsid w:val="00D3779E"/>
    <w:rsid w:val="00D679E5"/>
    <w:rsid w:val="00D74391"/>
    <w:rsid w:val="00D76CD6"/>
    <w:rsid w:val="00D83360"/>
    <w:rsid w:val="00DA0CAD"/>
    <w:rsid w:val="00DB6E88"/>
    <w:rsid w:val="00DB7B85"/>
    <w:rsid w:val="00DD31B4"/>
    <w:rsid w:val="00DE15C7"/>
    <w:rsid w:val="00DF7645"/>
    <w:rsid w:val="00E03323"/>
    <w:rsid w:val="00E047AD"/>
    <w:rsid w:val="00E12287"/>
    <w:rsid w:val="00E127A1"/>
    <w:rsid w:val="00E15579"/>
    <w:rsid w:val="00E20E6D"/>
    <w:rsid w:val="00E355C2"/>
    <w:rsid w:val="00E53B95"/>
    <w:rsid w:val="00E614F1"/>
    <w:rsid w:val="00E67A05"/>
    <w:rsid w:val="00E74AB7"/>
    <w:rsid w:val="00E81FE1"/>
    <w:rsid w:val="00E90203"/>
    <w:rsid w:val="00EA0405"/>
    <w:rsid w:val="00EB7179"/>
    <w:rsid w:val="00ED35D7"/>
    <w:rsid w:val="00ED61AB"/>
    <w:rsid w:val="00EF4C32"/>
    <w:rsid w:val="00EF69CD"/>
    <w:rsid w:val="00F02126"/>
    <w:rsid w:val="00F07AB3"/>
    <w:rsid w:val="00F262AB"/>
    <w:rsid w:val="00F7284D"/>
    <w:rsid w:val="00F84BCB"/>
    <w:rsid w:val="00F94A2B"/>
    <w:rsid w:val="00FA00C6"/>
    <w:rsid w:val="00FA5EC7"/>
    <w:rsid w:val="00FB0D6C"/>
    <w:rsid w:val="00FB6C33"/>
    <w:rsid w:val="00FC5F9E"/>
    <w:rsid w:val="00FE0187"/>
    <w:rsid w:val="00FE10AD"/>
    <w:rsid w:val="00FE11D2"/>
    <w:rsid w:val="00FE52B9"/>
    <w:rsid w:val="00FE7A5F"/>
    <w:rsid w:val="00FF1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F5C490"/>
  <w15:chartTrackingRefBased/>
  <w15:docId w15:val="{6A0637CB-648B-4C13-B815-8F67F3708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HTML Keyboar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56F"/>
    <w:pPr>
      <w:autoSpaceDE w:val="0"/>
      <w:autoSpaceDN w:val="0"/>
    </w:pPr>
    <w:rPr>
      <w:rFonts w:ascii="Arial" w:hAnsi="Arial"/>
      <w:sz w:val="22"/>
      <w:szCs w:val="24"/>
    </w:rPr>
  </w:style>
  <w:style w:type="paragraph" w:styleId="Heading1">
    <w:name w:val="heading 1"/>
    <w:basedOn w:val="Normal"/>
    <w:next w:val="Normal"/>
    <w:qFormat/>
    <w:rsid w:val="002B7443"/>
    <w:pPr>
      <w:pBdr>
        <w:top w:val="single" w:sz="4" w:space="12" w:color="auto"/>
      </w:pBdr>
      <w:jc w:val="center"/>
      <w:outlineLvl w:val="0"/>
    </w:pPr>
    <w:rPr>
      <w:rFonts w:cs="Arial"/>
      <w:b/>
      <w:bCs/>
      <w:szCs w:val="22"/>
    </w:rPr>
  </w:style>
  <w:style w:type="paragraph" w:styleId="Heading2">
    <w:name w:val="heading 2"/>
    <w:basedOn w:val="Subtitle"/>
    <w:next w:val="Normal"/>
    <w:qFormat/>
    <w:rsid w:val="00656AB8"/>
  </w:style>
  <w:style w:type="paragraph" w:styleId="Heading3">
    <w:name w:val="heading 3"/>
    <w:basedOn w:val="Subtitle2"/>
    <w:next w:val="Normal"/>
    <w:link w:val="Heading3Char"/>
    <w:unhideWhenUsed/>
    <w:qFormat/>
    <w:rsid w:val="00656AB8"/>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styleId="BodyTextIndent">
    <w:name w:val="Body Text Indent"/>
    <w:basedOn w:val="Normal"/>
    <w:link w:val="BodyTextIndentChar"/>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pPr>
      <w:autoSpaceDE/>
      <w:autoSpaceDN/>
      <w:spacing w:before="100" w:beforeAutospacing="1" w:after="100" w:afterAutospacing="1"/>
    </w:pPr>
    <w:rPr>
      <w:rFonts w:eastAsia="Arial Unicode MS"/>
    </w:rPr>
  </w:style>
  <w:style w:type="paragraph" w:styleId="Header">
    <w:name w:val="header"/>
    <w:basedOn w:val="Normal"/>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customStyle="1" w:styleId="HeadingNote">
    <w:name w:val="Heading Note"/>
    <w:basedOn w:val="Normal"/>
    <w:rsid w:val="002B7443"/>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pPr>
      <w:tabs>
        <w:tab w:val="left" w:pos="270"/>
      </w:tabs>
    </w:pPr>
    <w:rPr>
      <w:rFonts w:cs="Arial"/>
      <w:sz w:val="16"/>
      <w:szCs w:val="16"/>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qFormat/>
    <w:rsid w:val="00656AB8"/>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spacing w:after="120"/>
      <w:jc w:val="right"/>
    </w:pPr>
    <w:rPr>
      <w:sz w:val="16"/>
    </w:rPr>
  </w:style>
  <w:style w:type="character" w:customStyle="1" w:styleId="Heading3Char">
    <w:name w:val="Heading 3 Char"/>
    <w:basedOn w:val="DefaultParagraphFont"/>
    <w:link w:val="Heading3"/>
    <w:rsid w:val="00656AB8"/>
    <w:rPr>
      <w:rFonts w:ascii="Arial" w:hAnsi="Arial"/>
      <w:b/>
      <w:bCs/>
      <w:sz w:val="22"/>
      <w:u w:val="single"/>
    </w:rPr>
  </w:style>
  <w:style w:type="paragraph" w:customStyle="1" w:styleId="FormFieldCaption1">
    <w:name w:val="Form Field Caption1"/>
    <w:basedOn w:val="FormFieldCaption"/>
    <w:qFormat/>
    <w:rsid w:val="002B7443"/>
    <w:pPr>
      <w:spacing w:after="160"/>
    </w:pPr>
  </w:style>
  <w:style w:type="table" w:styleId="TableGrid">
    <w:name w:val="Table Grid"/>
    <w:basedOn w:val="TableNormal"/>
    <w:rsid w:val="002B74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2B7443"/>
    <w:rPr>
      <w:sz w:val="16"/>
      <w:szCs w:val="16"/>
    </w:rPr>
  </w:style>
  <w:style w:type="paragraph" w:styleId="CommentText">
    <w:name w:val="annotation text"/>
    <w:basedOn w:val="Normal"/>
    <w:link w:val="CommentTextChar"/>
    <w:rsid w:val="002B7443"/>
    <w:rPr>
      <w:sz w:val="20"/>
      <w:szCs w:val="20"/>
    </w:rPr>
  </w:style>
  <w:style w:type="character" w:customStyle="1" w:styleId="CommentTextChar">
    <w:name w:val="Comment Text Char"/>
    <w:basedOn w:val="DefaultParagraphFont"/>
    <w:link w:val="CommentText"/>
    <w:rsid w:val="002B7443"/>
    <w:rPr>
      <w:rFonts w:ascii="Arial" w:hAnsi="Arial"/>
    </w:rPr>
  </w:style>
  <w:style w:type="paragraph" w:styleId="CommentSubject">
    <w:name w:val="annotation subject"/>
    <w:basedOn w:val="CommentText"/>
    <w:next w:val="CommentText"/>
    <w:link w:val="CommentSubjectChar"/>
    <w:rsid w:val="002B7443"/>
    <w:rPr>
      <w:b/>
      <w:bCs/>
    </w:rPr>
  </w:style>
  <w:style w:type="character" w:customStyle="1" w:styleId="CommentSubjectChar">
    <w:name w:val="Comment Subject Char"/>
    <w:basedOn w:val="CommentTextChar"/>
    <w:link w:val="CommentSubject"/>
    <w:rsid w:val="002B7443"/>
    <w:rPr>
      <w:rFonts w:ascii="Arial" w:hAnsi="Arial"/>
      <w:b/>
      <w:bCs/>
    </w:rPr>
  </w:style>
  <w:style w:type="paragraph" w:styleId="BalloonText">
    <w:name w:val="Balloon Text"/>
    <w:basedOn w:val="Normal"/>
    <w:link w:val="BalloonTextChar"/>
    <w:rsid w:val="002B7443"/>
    <w:rPr>
      <w:rFonts w:ascii="Segoe UI" w:hAnsi="Segoe UI" w:cs="Segoe UI"/>
      <w:sz w:val="18"/>
      <w:szCs w:val="18"/>
    </w:rPr>
  </w:style>
  <w:style w:type="character" w:customStyle="1" w:styleId="BalloonTextChar">
    <w:name w:val="Balloon Text Char"/>
    <w:basedOn w:val="DefaultParagraphFont"/>
    <w:link w:val="BalloonText"/>
    <w:rsid w:val="002B7443"/>
    <w:rPr>
      <w:rFonts w:ascii="Segoe UI" w:hAnsi="Segoe UI" w:cs="Segoe UI"/>
      <w:sz w:val="18"/>
      <w:szCs w:val="18"/>
    </w:rPr>
  </w:style>
  <w:style w:type="paragraph" w:styleId="Title">
    <w:name w:val="Title"/>
    <w:basedOn w:val="Normal"/>
    <w:next w:val="Normal"/>
    <w:link w:val="TitleChar"/>
    <w:qFormat/>
    <w:rsid w:val="006E6FB5"/>
    <w:pPr>
      <w:pBdr>
        <w:top w:val="single" w:sz="4" w:space="1" w:color="auto"/>
      </w:pBdr>
      <w:spacing w:before="240"/>
      <w:jc w:val="center"/>
    </w:pPr>
    <w:rPr>
      <w:b/>
    </w:rPr>
  </w:style>
  <w:style w:type="character" w:customStyle="1" w:styleId="TitleChar">
    <w:name w:val="Title Char"/>
    <w:basedOn w:val="DefaultParagraphFont"/>
    <w:link w:val="Title"/>
    <w:rsid w:val="006E6FB5"/>
    <w:rPr>
      <w:rFonts w:ascii="Arial" w:hAnsi="Arial"/>
      <w:b/>
      <w:sz w:val="22"/>
      <w:szCs w:val="24"/>
    </w:rPr>
  </w:style>
  <w:style w:type="paragraph" w:styleId="BodyText">
    <w:name w:val="Body Text"/>
    <w:basedOn w:val="Normal"/>
    <w:link w:val="BodyTextChar"/>
    <w:uiPriority w:val="99"/>
    <w:rsid w:val="006E6FB5"/>
    <w:pPr>
      <w:spacing w:after="120"/>
    </w:pPr>
  </w:style>
  <w:style w:type="character" w:customStyle="1" w:styleId="BodyTextChar">
    <w:name w:val="Body Text Char"/>
    <w:basedOn w:val="DefaultParagraphFont"/>
    <w:link w:val="BodyText"/>
    <w:uiPriority w:val="99"/>
    <w:rsid w:val="006E6FB5"/>
    <w:rPr>
      <w:rFonts w:ascii="Arial" w:hAnsi="Arial"/>
      <w:sz w:val="22"/>
      <w:szCs w:val="24"/>
    </w:rPr>
  </w:style>
  <w:style w:type="paragraph" w:styleId="ListParagraph">
    <w:name w:val="List Paragraph"/>
    <w:basedOn w:val="Normal"/>
    <w:uiPriority w:val="34"/>
    <w:qFormat/>
    <w:rsid w:val="005B37B5"/>
    <w:pPr>
      <w:ind w:left="720"/>
    </w:pPr>
  </w:style>
  <w:style w:type="character" w:customStyle="1" w:styleId="apple-converted-space">
    <w:name w:val="apple-converted-space"/>
    <w:rsid w:val="00FE11D2"/>
  </w:style>
  <w:style w:type="character" w:customStyle="1" w:styleId="jrnl">
    <w:name w:val="jrnl"/>
    <w:basedOn w:val="DefaultParagraphFont"/>
    <w:rsid w:val="00FE11D2"/>
  </w:style>
  <w:style w:type="paragraph" w:customStyle="1" w:styleId="Title1">
    <w:name w:val="Title1"/>
    <w:basedOn w:val="Normal"/>
    <w:rsid w:val="00FE11D2"/>
    <w:pPr>
      <w:autoSpaceDE/>
      <w:autoSpaceDN/>
      <w:spacing w:before="100" w:beforeAutospacing="1" w:after="100" w:afterAutospacing="1"/>
    </w:pPr>
    <w:rPr>
      <w:rFonts w:ascii="Times New Roman" w:hAnsi="Times New Roman"/>
      <w:sz w:val="24"/>
    </w:rPr>
  </w:style>
  <w:style w:type="paragraph" w:customStyle="1" w:styleId="Title2">
    <w:name w:val="Title2"/>
    <w:basedOn w:val="Normal"/>
    <w:rsid w:val="00FE11D2"/>
    <w:pPr>
      <w:autoSpaceDE/>
      <w:autoSpaceDN/>
      <w:spacing w:before="100" w:beforeAutospacing="1" w:after="100" w:afterAutospacing="1"/>
    </w:pPr>
    <w:rPr>
      <w:rFonts w:ascii="Times New Roman" w:hAnsi="Times New Roman"/>
      <w:sz w:val="24"/>
    </w:rPr>
  </w:style>
  <w:style w:type="paragraph" w:styleId="NoSpacing">
    <w:name w:val="No Spacing"/>
    <w:uiPriority w:val="1"/>
    <w:qFormat/>
    <w:rsid w:val="00B13C99"/>
    <w:rPr>
      <w:rFonts w:ascii="Calibri" w:eastAsia="Calibri" w:hAnsi="Calibri"/>
      <w:sz w:val="22"/>
      <w:szCs w:val="22"/>
    </w:rPr>
  </w:style>
  <w:style w:type="character" w:styleId="FollowedHyperlink">
    <w:name w:val="FollowedHyperlink"/>
    <w:basedOn w:val="DefaultParagraphFont"/>
    <w:rsid w:val="00A1476C"/>
    <w:rPr>
      <w:color w:val="954F72" w:themeColor="followedHyperlink"/>
      <w:u w:val="single"/>
    </w:rPr>
  </w:style>
  <w:style w:type="paragraph" w:customStyle="1" w:styleId="Standard">
    <w:name w:val="Standard"/>
    <w:rsid w:val="008D685B"/>
    <w:pPr>
      <w:suppressAutoHyphens/>
      <w:autoSpaceDN w:val="0"/>
      <w:spacing w:after="160" w:line="259" w:lineRule="auto"/>
      <w:textAlignment w:val="baseline"/>
    </w:pPr>
    <w:rPr>
      <w:rFonts w:ascii="Calibri" w:eastAsia="SimSun" w:hAnsi="Calibri" w:cs="Calibri"/>
      <w:kern w:val="3"/>
      <w:sz w:val="22"/>
      <w:szCs w:val="22"/>
    </w:rPr>
  </w:style>
  <w:style w:type="paragraph" w:styleId="Revision">
    <w:name w:val="Revision"/>
    <w:hidden/>
    <w:uiPriority w:val="99"/>
    <w:semiHidden/>
    <w:rsid w:val="00C26B58"/>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100C7699C73A498CB057F667D9CD99" ma:contentTypeVersion="14" ma:contentTypeDescription="Create a new document." ma:contentTypeScope="" ma:versionID="da1b2f359c56964e8a9e5ba2f4a7bb8e">
  <xsd:schema xmlns:xsd="http://www.w3.org/2001/XMLSchema" xmlns:xs="http://www.w3.org/2001/XMLSchema" xmlns:p="http://schemas.microsoft.com/office/2006/metadata/properties" xmlns:ns1="http://schemas.microsoft.com/sharepoint/v3" xmlns:ns3="0b516ab0-04e4-4c88-99cd-523706b96b1a" xmlns:ns4="589fc4a7-9825-4918-b2d3-6237c872ffbf" targetNamespace="http://schemas.microsoft.com/office/2006/metadata/properties" ma:root="true" ma:fieldsID="13579475e6e87a3a4fadde96db207311" ns1:_="" ns3:_="" ns4:_="">
    <xsd:import namespace="http://schemas.microsoft.com/sharepoint/v3"/>
    <xsd:import namespace="0b516ab0-04e4-4c88-99cd-523706b96b1a"/>
    <xsd:import namespace="589fc4a7-9825-4918-b2d3-6237c872ffb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516ab0-04e4-4c88-99cd-523706b96b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9fc4a7-9825-4918-b2d3-6237c872ffb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D37666-E58B-431B-B07E-592DB74D62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b516ab0-04e4-4c88-99cd-523706b96b1a"/>
    <ds:schemaRef ds:uri="589fc4a7-9825-4918-b2d3-6237c872ff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76CE26-06FF-4835-817C-1A5CD3E7E1B8}">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0b516ab0-04e4-4c88-99cd-523706b96b1a"/>
    <ds:schemaRef ds:uri="http://schemas.microsoft.com/office/2006/documentManagement/types"/>
    <ds:schemaRef ds:uri="http://schemas.microsoft.com/office/infopath/2007/PartnerControls"/>
    <ds:schemaRef ds:uri="589fc4a7-9825-4918-b2d3-6237c872ffbf"/>
    <ds:schemaRef ds:uri="http://www.w3.org/XML/1998/namespace"/>
    <ds:schemaRef ds:uri="http://purl.org/dc/dcmitype/"/>
  </ds:schemaRefs>
</ds:datastoreItem>
</file>

<file path=customXml/itemProps3.xml><?xml version="1.0" encoding="utf-8"?>
<ds:datastoreItem xmlns:ds="http://schemas.openxmlformats.org/officeDocument/2006/customXml" ds:itemID="{3A4A9A40-AA55-4CBA-93F5-B14C65A49478}">
  <ds:schemaRefs>
    <ds:schemaRef ds:uri="http://schemas.microsoft.com/sharepoint/v3/contenttype/forms"/>
  </ds:schemaRefs>
</ds:datastoreItem>
</file>

<file path=customXml/itemProps4.xml><?xml version="1.0" encoding="utf-8"?>
<ds:datastoreItem xmlns:ds="http://schemas.openxmlformats.org/officeDocument/2006/customXml" ds:itemID="{3A7494B1-883D-4E44-AFBD-9C35268E5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1306</Words>
  <Characters>8329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OMB No. 0925-0046, Biographical Sketch Format Page</vt:lpstr>
    </vt:vector>
  </TitlesOfParts>
  <Company>DHHS/PHS/NIH</Company>
  <LinksUpToDate>false</LinksUpToDate>
  <CharactersWithSpaces>9616</CharactersWithSpaces>
  <SharedDoc>false</SharedDoc>
  <HLinks>
    <vt:vector size="6" baseType="variant">
      <vt:variant>
        <vt:i4>2752620</vt:i4>
      </vt:variant>
      <vt:variant>
        <vt:i4>0</vt:i4>
      </vt:variant>
      <vt:variant>
        <vt:i4>0</vt:i4>
      </vt:variant>
      <vt:variant>
        <vt:i4>5</vt:i4>
      </vt:variant>
      <vt:variant>
        <vt:lpwstr>http://publicaccess.nih.gov/submit_process_journals.htm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0925-0046, Biographical Sketch Format Page</dc:title>
  <dc:subject>DHHS, Public Health Service Grant Application</dc:subject>
  <dc:creator>Office of Extramural Programs</dc:creator>
  <cp:keywords>PHS Grant Application, 0925-0001/0002, (Rev. 08/12), Biographical Sketch Format Page</cp:keywords>
  <dc:description/>
  <cp:lastModifiedBy>Sithara Vivek</cp:lastModifiedBy>
  <cp:revision>3</cp:revision>
  <cp:lastPrinted>2011-03-11T19:43:00Z</cp:lastPrinted>
  <dcterms:created xsi:type="dcterms:W3CDTF">2023-09-18T18:56:00Z</dcterms:created>
  <dcterms:modified xsi:type="dcterms:W3CDTF">2023-10-11T16:33:00Z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0x01010027100C7699C73A498CB057F667D9CD99</vt:lpwstr>
  </property>
  <property fmtid="{D5CDD505-2E9C-101B-9397-08002B2CF9AE}" pid="3" name="Test Comment">
    <vt:lpwstr>7/17/2015. Updated file properties. 6/23/2013. Created .docx version and added OMB info to footer.</vt:lpwstr>
  </property>
  <property fmtid="{D5CDD505-2E9C-101B-9397-08002B2CF9AE}" pid="4" name="Form Set">
    <vt:lpwstr>PHS398/PHS2590</vt:lpwstr>
  </property>
</Properties>
</file>